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546ED" w14:textId="77777777" w:rsidR="00D525BA" w:rsidRPr="0058028C" w:rsidRDefault="00D525BA" w:rsidP="00AC1BCD">
      <w:pPr>
        <w:pStyle w:val="Heading1"/>
      </w:pPr>
      <w:r w:rsidRPr="0058028C">
        <w:t>FINDINGS OF FACT</w:t>
      </w:r>
    </w:p>
    <w:p w14:paraId="538EBE26" w14:textId="77777777" w:rsidR="00D525BA" w:rsidRPr="0058028C" w:rsidRDefault="00D525BA" w:rsidP="00AC1BCD">
      <w:pPr>
        <w:pStyle w:val="BodyText"/>
      </w:pPr>
    </w:p>
    <w:p w14:paraId="26219FA8" w14:textId="77E59B79" w:rsidR="00793874" w:rsidRPr="00DF1D98" w:rsidRDefault="00793874" w:rsidP="00AC1BCD">
      <w:pPr>
        <w:pStyle w:val="BodyText"/>
      </w:pPr>
      <w:r w:rsidRPr="0058028C">
        <w:t>A</w:t>
      </w:r>
      <w:r w:rsidR="00A70FBA">
        <w:t>fter review of the air emission</w:t>
      </w:r>
      <w:r w:rsidRPr="0058028C">
        <w:t xml:space="preserve"> license</w:t>
      </w:r>
      <w:r w:rsidR="00AB6C6B">
        <w:t xml:space="preserve"> </w:t>
      </w:r>
      <w:r w:rsidRPr="0058028C">
        <w:t>application, staff investigation reports</w:t>
      </w:r>
      <w:r w:rsidR="0058028C" w:rsidRPr="0058028C">
        <w:t>,</w:t>
      </w:r>
      <w:r w:rsidRPr="0058028C">
        <w:t xml:space="preserve"> and other </w:t>
      </w:r>
      <w:r w:rsidRPr="00DF1D98">
        <w:t xml:space="preserve">documents in the applicant’s file in the Bureau of Air Quality, pursuant to 38 </w:t>
      </w:r>
      <w:r w:rsidR="00496A52" w:rsidRPr="00DF1D98">
        <w:t>Maine Revised Statutes (</w:t>
      </w:r>
      <w:r w:rsidR="0096590B">
        <w:t>M.R.S</w:t>
      </w:r>
      <w:r w:rsidRPr="00DF1D98">
        <w:t>.</w:t>
      </w:r>
      <w:r w:rsidR="00496A52" w:rsidRPr="00DF1D98">
        <w:t>)</w:t>
      </w:r>
      <w:r w:rsidRPr="00DF1D98">
        <w:t xml:space="preserve"> </w:t>
      </w:r>
      <w:r w:rsidR="0096590B">
        <w:t>§</w:t>
      </w:r>
      <w:r w:rsidRPr="00DF1D98">
        <w:t xml:space="preserve"> 344 and </w:t>
      </w:r>
      <w:r w:rsidR="0096590B">
        <w:t>§</w:t>
      </w:r>
      <w:r w:rsidRPr="00DF1D98">
        <w:t xml:space="preserve"> 590, the </w:t>
      </w:r>
      <w:r w:rsidR="00737413" w:rsidRPr="00DF1D98">
        <w:t xml:space="preserve">Maine </w:t>
      </w:r>
      <w:r w:rsidRPr="00DF1D98">
        <w:t xml:space="preserve">Department </w:t>
      </w:r>
      <w:r w:rsidR="00737413" w:rsidRPr="00DF1D98">
        <w:t>of Environmental Protection (</w:t>
      </w:r>
      <w:r w:rsidR="0058028C" w:rsidRPr="00DF1D98">
        <w:t xml:space="preserve">the </w:t>
      </w:r>
      <w:r w:rsidR="00737413" w:rsidRPr="00DF1D98">
        <w:t xml:space="preserve">Department) </w:t>
      </w:r>
      <w:r w:rsidRPr="00DF1D98">
        <w:t>finds the following facts:</w:t>
      </w:r>
    </w:p>
    <w:p w14:paraId="72F6C06D" w14:textId="77777777" w:rsidR="00793874" w:rsidRPr="00DF1D98" w:rsidRDefault="00793874" w:rsidP="00AC1BCD"/>
    <w:p w14:paraId="7F4111FA" w14:textId="77777777" w:rsidR="00793874" w:rsidRPr="00DF1D98" w:rsidRDefault="00793874" w:rsidP="00AC1BCD">
      <w:pPr>
        <w:pStyle w:val="Heading2"/>
      </w:pPr>
      <w:r w:rsidRPr="00DF1D98">
        <w:t>REGISTRATION</w:t>
      </w:r>
    </w:p>
    <w:p w14:paraId="7E5B91BD" w14:textId="77777777" w:rsidR="00793874" w:rsidRPr="00DF1D98" w:rsidRDefault="00793874" w:rsidP="00AC1BCD"/>
    <w:p w14:paraId="19F2EB7C" w14:textId="77777777" w:rsidR="00B17094" w:rsidRPr="00DF1D98" w:rsidRDefault="00793874" w:rsidP="00AC1BCD">
      <w:pPr>
        <w:pStyle w:val="Heading3"/>
      </w:pPr>
      <w:r w:rsidRPr="00DF1D98">
        <w:t>Introduction</w:t>
      </w:r>
    </w:p>
    <w:p w14:paraId="1740B636" w14:textId="77777777" w:rsidR="00B17094" w:rsidRPr="00DF1D98" w:rsidRDefault="00B17094" w:rsidP="00AC1BCD">
      <w:pPr>
        <w:rPr>
          <w:szCs w:val="24"/>
        </w:rPr>
      </w:pPr>
    </w:p>
    <w:tbl>
      <w:tblPr>
        <w:tblW w:w="81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4860"/>
      </w:tblGrid>
      <w:tr w:rsidR="00DF1D98" w:rsidRPr="00DF1D98" w14:paraId="2F3098F6" w14:textId="77777777" w:rsidTr="0096590B">
        <w:tc>
          <w:tcPr>
            <w:tcW w:w="3240" w:type="dxa"/>
            <w:vAlign w:val="center"/>
          </w:tcPr>
          <w:p w14:paraId="289AF801" w14:textId="77777777" w:rsidR="00B17094" w:rsidRPr="00DF1D98" w:rsidRDefault="00B17094" w:rsidP="00AC1BCD">
            <w:pPr>
              <w:rPr>
                <w:szCs w:val="24"/>
              </w:rPr>
            </w:pPr>
            <w:r w:rsidRPr="00DF1D98">
              <w:rPr>
                <w:szCs w:val="24"/>
              </w:rPr>
              <w:t>FACILITY</w:t>
            </w:r>
          </w:p>
        </w:tc>
        <w:tc>
          <w:tcPr>
            <w:tcW w:w="4860" w:type="dxa"/>
            <w:vAlign w:val="center"/>
          </w:tcPr>
          <w:p w14:paraId="5C2915A7" w14:textId="6799657E" w:rsidR="00B17094" w:rsidRPr="00DF1D98" w:rsidRDefault="002412C0" w:rsidP="00AC1BCD">
            <w:pPr>
              <w:rPr>
                <w:szCs w:val="24"/>
              </w:rPr>
            </w:pPr>
            <w:r w:rsidRPr="002412C0">
              <w:rPr>
                <w:szCs w:val="24"/>
              </w:rPr>
              <w:t>ND Paper Inc. (NDP)</w:t>
            </w:r>
          </w:p>
        </w:tc>
      </w:tr>
      <w:tr w:rsidR="00DF1D98" w:rsidRPr="00DF1D98" w14:paraId="144ADEB2" w14:textId="77777777" w:rsidTr="0096590B">
        <w:tc>
          <w:tcPr>
            <w:tcW w:w="3240" w:type="dxa"/>
            <w:vAlign w:val="center"/>
          </w:tcPr>
          <w:p w14:paraId="7668E16B" w14:textId="77777777" w:rsidR="00B17094" w:rsidRPr="00DF1D98" w:rsidRDefault="00B17094" w:rsidP="00AC1BCD">
            <w:pPr>
              <w:rPr>
                <w:szCs w:val="24"/>
              </w:rPr>
            </w:pPr>
            <w:r w:rsidRPr="00DF1D98">
              <w:rPr>
                <w:szCs w:val="24"/>
              </w:rPr>
              <w:t>LICENSE TYPE</w:t>
            </w:r>
          </w:p>
        </w:tc>
        <w:tc>
          <w:tcPr>
            <w:tcW w:w="4860" w:type="dxa"/>
            <w:vAlign w:val="center"/>
          </w:tcPr>
          <w:p w14:paraId="164FF3DB" w14:textId="00773602" w:rsidR="0058028C" w:rsidRPr="005E7E36" w:rsidRDefault="0058028C" w:rsidP="00AC1BCD">
            <w:pPr>
              <w:rPr>
                <w:szCs w:val="24"/>
              </w:rPr>
            </w:pPr>
            <w:r w:rsidRPr="00DF1D98">
              <w:rPr>
                <w:szCs w:val="24"/>
              </w:rPr>
              <w:t>06-096 C</w:t>
            </w:r>
            <w:r w:rsidR="0096590B">
              <w:rPr>
                <w:szCs w:val="24"/>
              </w:rPr>
              <w:t>.</w:t>
            </w:r>
            <w:r w:rsidRPr="00DF1D98">
              <w:rPr>
                <w:szCs w:val="24"/>
              </w:rPr>
              <w:t>M</w:t>
            </w:r>
            <w:r w:rsidR="0096590B">
              <w:rPr>
                <w:szCs w:val="24"/>
              </w:rPr>
              <w:t>.</w:t>
            </w:r>
            <w:r w:rsidRPr="00DF1D98">
              <w:rPr>
                <w:szCs w:val="24"/>
              </w:rPr>
              <w:t>R</w:t>
            </w:r>
            <w:r w:rsidR="0096590B">
              <w:rPr>
                <w:szCs w:val="24"/>
              </w:rPr>
              <w:t>. ch.</w:t>
            </w:r>
            <w:r w:rsidRPr="00DF1D98">
              <w:rPr>
                <w:szCs w:val="24"/>
              </w:rPr>
              <w:t xml:space="preserve"> 115, Minor Modification</w:t>
            </w:r>
          </w:p>
        </w:tc>
      </w:tr>
      <w:tr w:rsidR="00DF1D98" w:rsidRPr="00DF1D98" w14:paraId="77AF4243" w14:textId="77777777" w:rsidTr="0096590B">
        <w:tc>
          <w:tcPr>
            <w:tcW w:w="3240" w:type="dxa"/>
            <w:vAlign w:val="center"/>
          </w:tcPr>
          <w:p w14:paraId="174E06BE" w14:textId="77777777" w:rsidR="00B17094" w:rsidRPr="00DF1D98" w:rsidRDefault="00B17094" w:rsidP="00AC1BCD">
            <w:pPr>
              <w:rPr>
                <w:szCs w:val="24"/>
              </w:rPr>
            </w:pPr>
            <w:r w:rsidRPr="00DF1D98">
              <w:rPr>
                <w:szCs w:val="24"/>
              </w:rPr>
              <w:t>NAICS CODES</w:t>
            </w:r>
          </w:p>
        </w:tc>
        <w:tc>
          <w:tcPr>
            <w:tcW w:w="4860" w:type="dxa"/>
            <w:vAlign w:val="center"/>
          </w:tcPr>
          <w:p w14:paraId="276563B8" w14:textId="1D6739BA" w:rsidR="00B17094" w:rsidRPr="00DF1D98" w:rsidRDefault="002412C0" w:rsidP="00AC1BCD">
            <w:pPr>
              <w:rPr>
                <w:szCs w:val="24"/>
              </w:rPr>
            </w:pPr>
            <w:r w:rsidRPr="002412C0">
              <w:rPr>
                <w:szCs w:val="24"/>
              </w:rPr>
              <w:t>322110, 322121</w:t>
            </w:r>
          </w:p>
        </w:tc>
      </w:tr>
      <w:tr w:rsidR="00DF1D98" w:rsidRPr="00DF1D98" w14:paraId="50C42B95" w14:textId="77777777" w:rsidTr="0096590B">
        <w:tc>
          <w:tcPr>
            <w:tcW w:w="3240" w:type="dxa"/>
            <w:vAlign w:val="center"/>
          </w:tcPr>
          <w:p w14:paraId="198DFBEE" w14:textId="77777777" w:rsidR="00B17094" w:rsidRPr="00DF1D98" w:rsidRDefault="00B17094" w:rsidP="00AC1BCD">
            <w:pPr>
              <w:rPr>
                <w:szCs w:val="24"/>
              </w:rPr>
            </w:pPr>
            <w:r w:rsidRPr="00DF1D98">
              <w:rPr>
                <w:szCs w:val="24"/>
              </w:rPr>
              <w:t>NATURE OF BUSINESS</w:t>
            </w:r>
          </w:p>
        </w:tc>
        <w:tc>
          <w:tcPr>
            <w:tcW w:w="4860" w:type="dxa"/>
            <w:vAlign w:val="center"/>
          </w:tcPr>
          <w:p w14:paraId="7706890A" w14:textId="401CE347" w:rsidR="00B17094" w:rsidRPr="00DF1D98" w:rsidRDefault="002412C0" w:rsidP="00AC1BCD">
            <w:pPr>
              <w:rPr>
                <w:szCs w:val="24"/>
              </w:rPr>
            </w:pPr>
            <w:r w:rsidRPr="002412C0">
              <w:rPr>
                <w:szCs w:val="24"/>
              </w:rPr>
              <w:t>Pulp &amp; Paper Mill</w:t>
            </w:r>
          </w:p>
        </w:tc>
      </w:tr>
      <w:tr w:rsidR="00DF1D98" w:rsidRPr="00DF1D98" w14:paraId="0943033C" w14:textId="77777777" w:rsidTr="0096590B">
        <w:tc>
          <w:tcPr>
            <w:tcW w:w="3240" w:type="dxa"/>
            <w:vAlign w:val="center"/>
          </w:tcPr>
          <w:p w14:paraId="10C8E326" w14:textId="77777777" w:rsidR="00B17094" w:rsidRPr="00DF1D98" w:rsidRDefault="00B17094" w:rsidP="00AC1BCD">
            <w:pPr>
              <w:rPr>
                <w:szCs w:val="24"/>
              </w:rPr>
            </w:pPr>
            <w:r w:rsidRPr="00DF1D98">
              <w:rPr>
                <w:szCs w:val="24"/>
              </w:rPr>
              <w:t>FACILITY LOCATION</w:t>
            </w:r>
          </w:p>
        </w:tc>
        <w:tc>
          <w:tcPr>
            <w:tcW w:w="4860" w:type="dxa"/>
            <w:vAlign w:val="center"/>
          </w:tcPr>
          <w:p w14:paraId="05BEF17D" w14:textId="6D03E86D" w:rsidR="00B17094" w:rsidRPr="00DF1D98" w:rsidRDefault="002412C0" w:rsidP="00AC1BCD">
            <w:pPr>
              <w:rPr>
                <w:szCs w:val="24"/>
              </w:rPr>
            </w:pPr>
            <w:r w:rsidRPr="002412C0">
              <w:rPr>
                <w:szCs w:val="24"/>
              </w:rPr>
              <w:t>35 Hartford Street, Rumford, Maine</w:t>
            </w:r>
          </w:p>
        </w:tc>
      </w:tr>
    </w:tbl>
    <w:p w14:paraId="6ADFB876" w14:textId="77777777" w:rsidR="00793874" w:rsidRPr="00DF1D98" w:rsidRDefault="00793874" w:rsidP="00AC1BCD"/>
    <w:p w14:paraId="23B47264" w14:textId="77777777" w:rsidR="00B17094" w:rsidRPr="00DF1D98" w:rsidRDefault="00283630" w:rsidP="00AC1BCD">
      <w:pPr>
        <w:pStyle w:val="Heading3"/>
      </w:pPr>
      <w:r>
        <w:t>NSR License</w:t>
      </w:r>
      <w:r w:rsidR="00B17094" w:rsidRPr="00DF1D98">
        <w:t xml:space="preserve"> Description</w:t>
      </w:r>
    </w:p>
    <w:p w14:paraId="5C9532FA" w14:textId="77777777" w:rsidR="00B17094" w:rsidRPr="00DF1D98" w:rsidRDefault="00B17094" w:rsidP="00AC1BCD">
      <w:pPr>
        <w:ind w:left="720"/>
        <w:rPr>
          <w:szCs w:val="24"/>
        </w:rPr>
      </w:pPr>
    </w:p>
    <w:p w14:paraId="6014D1F1" w14:textId="54115B95" w:rsidR="002412C0" w:rsidRDefault="002412C0" w:rsidP="00AC1BCD">
      <w:pPr>
        <w:ind w:left="720"/>
        <w:rPr>
          <w:bCs/>
          <w:iCs/>
          <w:szCs w:val="24"/>
        </w:rPr>
      </w:pPr>
      <w:r w:rsidRPr="002412C0">
        <w:rPr>
          <w:bCs/>
          <w:iCs/>
          <w:szCs w:val="24"/>
        </w:rPr>
        <w:t>NDP is proposing to make physical modifications to the Recovery</w:t>
      </w:r>
      <w:r>
        <w:rPr>
          <w:bCs/>
          <w:iCs/>
          <w:szCs w:val="24"/>
        </w:rPr>
        <w:t xml:space="preserve"> </w:t>
      </w:r>
      <w:r w:rsidRPr="002412C0">
        <w:rPr>
          <w:bCs/>
          <w:iCs/>
          <w:szCs w:val="24"/>
        </w:rPr>
        <w:t>Boiler C, Cogen Boiler</w:t>
      </w:r>
      <w:r w:rsidR="005F7311">
        <w:rPr>
          <w:bCs/>
          <w:iCs/>
          <w:szCs w:val="24"/>
        </w:rPr>
        <w:t> </w:t>
      </w:r>
      <w:r w:rsidRPr="002412C0">
        <w:rPr>
          <w:bCs/>
          <w:iCs/>
          <w:szCs w:val="24"/>
        </w:rPr>
        <w:t>#6, and Cogen Boiler #7 to incorporate the capability to combust natural gas in each unit</w:t>
      </w:r>
      <w:r>
        <w:rPr>
          <w:bCs/>
          <w:iCs/>
          <w:szCs w:val="24"/>
        </w:rPr>
        <w:t xml:space="preserve">. </w:t>
      </w:r>
    </w:p>
    <w:p w14:paraId="0EAD9346" w14:textId="77777777" w:rsidR="002412C0" w:rsidRPr="00DF1D98" w:rsidRDefault="002412C0" w:rsidP="00AC1BCD">
      <w:pPr>
        <w:ind w:left="720"/>
        <w:rPr>
          <w:szCs w:val="24"/>
        </w:rPr>
      </w:pPr>
    </w:p>
    <w:p w14:paraId="5EB4D38A" w14:textId="77777777" w:rsidR="00793874" w:rsidRPr="00DF1D98" w:rsidRDefault="00793874" w:rsidP="00AC1BCD">
      <w:pPr>
        <w:pStyle w:val="Heading3"/>
      </w:pPr>
      <w:r w:rsidRPr="00DF1D98">
        <w:t>Emission Equipment</w:t>
      </w:r>
    </w:p>
    <w:p w14:paraId="5A244AFE" w14:textId="77777777" w:rsidR="00A8166B" w:rsidRPr="00DF1D98" w:rsidRDefault="00A8166B" w:rsidP="00AC1BCD">
      <w:pPr>
        <w:pStyle w:val="BodyTextIndent"/>
      </w:pPr>
    </w:p>
    <w:p w14:paraId="3D5DE7C3" w14:textId="77777777" w:rsidR="00A70FBA" w:rsidRDefault="00793874" w:rsidP="00AC1BCD">
      <w:pPr>
        <w:pStyle w:val="BodyTextIndent"/>
      </w:pPr>
      <w:r w:rsidRPr="00DF1D98">
        <w:t xml:space="preserve">The following equipment is addressed in this </w:t>
      </w:r>
      <w:r w:rsidR="00283630">
        <w:t>NSR</w:t>
      </w:r>
      <w:r w:rsidRPr="00DF1D98">
        <w:t xml:space="preserve"> license:</w:t>
      </w:r>
    </w:p>
    <w:p w14:paraId="595F6A8F" w14:textId="77777777" w:rsidR="00A70FBA" w:rsidRPr="00DF1D98" w:rsidRDefault="00A70FBA" w:rsidP="00AC1BCD"/>
    <w:p w14:paraId="3C87D16E" w14:textId="77777777" w:rsidR="00793874" w:rsidRPr="00A8166B" w:rsidRDefault="00793874" w:rsidP="00AC1BCD">
      <w:pPr>
        <w:jc w:val="center"/>
      </w:pPr>
      <w:r w:rsidRPr="00A8166B">
        <w:rPr>
          <w:b/>
        </w:rPr>
        <w:t>Fuel Burning Equipment</w:t>
      </w:r>
    </w:p>
    <w:p w14:paraId="417A4EDD" w14:textId="77777777" w:rsidR="00793874" w:rsidRPr="00DF1D98" w:rsidRDefault="00793874" w:rsidP="00AC1BCD"/>
    <w:tbl>
      <w:tblPr>
        <w:tblW w:w="95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055"/>
        <w:gridCol w:w="2610"/>
        <w:gridCol w:w="3870"/>
        <w:gridCol w:w="990"/>
      </w:tblGrid>
      <w:tr w:rsidR="00C37D2D" w:rsidRPr="00DF1D98" w14:paraId="5A0B3F40" w14:textId="77777777" w:rsidTr="00D917C7">
        <w:trPr>
          <w:tblHeader/>
          <w:jc w:val="center"/>
        </w:trPr>
        <w:tc>
          <w:tcPr>
            <w:tcW w:w="2055" w:type="dxa"/>
            <w:shd w:val="clear" w:color="auto" w:fill="D9D9D9" w:themeFill="background1" w:themeFillShade="D9"/>
            <w:vAlign w:val="bottom"/>
          </w:tcPr>
          <w:p w14:paraId="0C304F54" w14:textId="77777777" w:rsidR="00C37D2D" w:rsidRPr="001B1CC8" w:rsidRDefault="00C37D2D" w:rsidP="00AC1BCD">
            <w:pPr>
              <w:jc w:val="center"/>
              <w:rPr>
                <w:b/>
                <w:sz w:val="22"/>
                <w:szCs w:val="22"/>
              </w:rPr>
            </w:pPr>
          </w:p>
          <w:p w14:paraId="345FF13B" w14:textId="77777777" w:rsidR="00C37D2D" w:rsidRPr="001B1CC8" w:rsidRDefault="00C37D2D" w:rsidP="00AC1BCD">
            <w:pPr>
              <w:jc w:val="center"/>
              <w:rPr>
                <w:b/>
                <w:sz w:val="22"/>
                <w:szCs w:val="22"/>
              </w:rPr>
            </w:pPr>
          </w:p>
          <w:p w14:paraId="5FB6223F" w14:textId="77777777" w:rsidR="00C37D2D" w:rsidRPr="001B1CC8" w:rsidRDefault="00C37D2D" w:rsidP="00AC1BCD">
            <w:pPr>
              <w:pStyle w:val="Heading2"/>
              <w:numPr>
                <w:ilvl w:val="0"/>
                <w:numId w:val="0"/>
              </w:numPr>
            </w:pPr>
            <w:r w:rsidRPr="001B1CC8">
              <w:t>Equipment</w:t>
            </w:r>
          </w:p>
        </w:tc>
        <w:tc>
          <w:tcPr>
            <w:tcW w:w="2610" w:type="dxa"/>
            <w:shd w:val="clear" w:color="auto" w:fill="D9D9D9" w:themeFill="background1" w:themeFillShade="D9"/>
            <w:vAlign w:val="bottom"/>
          </w:tcPr>
          <w:p w14:paraId="694CC578" w14:textId="77777777" w:rsidR="00C37D2D" w:rsidRPr="001B1CC8" w:rsidRDefault="00C37D2D" w:rsidP="00AC1BCD">
            <w:pPr>
              <w:jc w:val="center"/>
              <w:rPr>
                <w:b/>
                <w:sz w:val="22"/>
                <w:szCs w:val="22"/>
              </w:rPr>
            </w:pPr>
            <w:r w:rsidRPr="001B1CC8">
              <w:rPr>
                <w:b/>
                <w:sz w:val="22"/>
                <w:szCs w:val="22"/>
              </w:rPr>
              <w:t>Maximum Capacity</w:t>
            </w:r>
          </w:p>
          <w:p w14:paraId="41406CBA" w14:textId="77777777" w:rsidR="00C37D2D" w:rsidRPr="001B1CC8" w:rsidRDefault="00C37D2D" w:rsidP="00AC1BCD">
            <w:pPr>
              <w:jc w:val="center"/>
              <w:rPr>
                <w:b/>
                <w:sz w:val="22"/>
                <w:szCs w:val="22"/>
              </w:rPr>
            </w:pPr>
            <w:r w:rsidRPr="001B1CC8">
              <w:rPr>
                <w:b/>
                <w:sz w:val="22"/>
                <w:szCs w:val="22"/>
              </w:rPr>
              <w:t>(MMBtu/hr)</w:t>
            </w:r>
          </w:p>
        </w:tc>
        <w:tc>
          <w:tcPr>
            <w:tcW w:w="3870" w:type="dxa"/>
            <w:shd w:val="clear" w:color="auto" w:fill="D9D9D9" w:themeFill="background1" w:themeFillShade="D9"/>
            <w:vAlign w:val="bottom"/>
          </w:tcPr>
          <w:p w14:paraId="22FD44CD" w14:textId="77777777" w:rsidR="00C37D2D" w:rsidRPr="001B1CC8" w:rsidRDefault="00C37D2D" w:rsidP="00AC1BCD">
            <w:pPr>
              <w:jc w:val="center"/>
              <w:rPr>
                <w:b/>
                <w:sz w:val="22"/>
                <w:szCs w:val="22"/>
              </w:rPr>
            </w:pPr>
          </w:p>
          <w:p w14:paraId="69454350" w14:textId="77777777" w:rsidR="00C37D2D" w:rsidRPr="001B1CC8" w:rsidRDefault="00C37D2D" w:rsidP="00AC1BCD">
            <w:pPr>
              <w:jc w:val="center"/>
              <w:rPr>
                <w:b/>
                <w:sz w:val="22"/>
                <w:szCs w:val="22"/>
              </w:rPr>
            </w:pPr>
            <w:r w:rsidRPr="001B1CC8">
              <w:rPr>
                <w:b/>
                <w:sz w:val="22"/>
                <w:szCs w:val="22"/>
              </w:rPr>
              <w:t>Fuel Type</w:t>
            </w:r>
          </w:p>
        </w:tc>
        <w:tc>
          <w:tcPr>
            <w:tcW w:w="990" w:type="dxa"/>
            <w:shd w:val="clear" w:color="auto" w:fill="D9D9D9" w:themeFill="background1" w:themeFillShade="D9"/>
            <w:vAlign w:val="bottom"/>
          </w:tcPr>
          <w:p w14:paraId="213441E9" w14:textId="77777777" w:rsidR="00C37D2D" w:rsidRPr="001B1CC8" w:rsidRDefault="00C37D2D" w:rsidP="00AC1BCD">
            <w:pPr>
              <w:jc w:val="center"/>
              <w:rPr>
                <w:b/>
                <w:sz w:val="22"/>
                <w:szCs w:val="22"/>
              </w:rPr>
            </w:pPr>
          </w:p>
          <w:p w14:paraId="6CD1460F" w14:textId="77777777" w:rsidR="00C37D2D" w:rsidRPr="001B1CC8" w:rsidRDefault="00C37D2D" w:rsidP="00AC1BCD">
            <w:pPr>
              <w:pStyle w:val="Heading3"/>
              <w:numPr>
                <w:ilvl w:val="0"/>
                <w:numId w:val="0"/>
              </w:numPr>
              <w:jc w:val="center"/>
              <w:rPr>
                <w:b/>
                <w:sz w:val="22"/>
                <w:szCs w:val="22"/>
                <w:u w:val="none"/>
              </w:rPr>
            </w:pPr>
          </w:p>
          <w:p w14:paraId="3379930E" w14:textId="77777777" w:rsidR="00C37D2D" w:rsidRPr="001B1CC8" w:rsidRDefault="00C37D2D" w:rsidP="00AC1BCD">
            <w:pPr>
              <w:pStyle w:val="Heading3"/>
              <w:numPr>
                <w:ilvl w:val="0"/>
                <w:numId w:val="0"/>
              </w:numPr>
              <w:jc w:val="center"/>
              <w:rPr>
                <w:b/>
                <w:sz w:val="22"/>
                <w:szCs w:val="22"/>
                <w:u w:val="none"/>
              </w:rPr>
            </w:pPr>
            <w:r w:rsidRPr="001B1CC8">
              <w:rPr>
                <w:b/>
                <w:sz w:val="22"/>
                <w:szCs w:val="22"/>
                <w:u w:val="none"/>
              </w:rPr>
              <w:t>Stack #</w:t>
            </w:r>
          </w:p>
        </w:tc>
      </w:tr>
      <w:tr w:rsidR="00C37D2D" w:rsidRPr="00DF1D98" w14:paraId="1E91799C" w14:textId="77777777" w:rsidTr="00D917C7">
        <w:trPr>
          <w:jc w:val="center"/>
        </w:trPr>
        <w:tc>
          <w:tcPr>
            <w:tcW w:w="2055" w:type="dxa"/>
            <w:vAlign w:val="center"/>
          </w:tcPr>
          <w:p w14:paraId="7C8658CE" w14:textId="53A265ED" w:rsidR="00C37D2D" w:rsidRPr="001B1CC8" w:rsidRDefault="00C37D2D" w:rsidP="00AC1BCD">
            <w:pPr>
              <w:rPr>
                <w:sz w:val="22"/>
                <w:szCs w:val="22"/>
              </w:rPr>
            </w:pPr>
            <w:r w:rsidRPr="002412C0">
              <w:rPr>
                <w:bCs/>
                <w:iCs/>
                <w:szCs w:val="24"/>
              </w:rPr>
              <w:t>Recovery</w:t>
            </w:r>
            <w:r>
              <w:rPr>
                <w:bCs/>
                <w:iCs/>
                <w:szCs w:val="24"/>
              </w:rPr>
              <w:t xml:space="preserve"> </w:t>
            </w:r>
            <w:r w:rsidRPr="002412C0">
              <w:rPr>
                <w:bCs/>
                <w:iCs/>
                <w:szCs w:val="24"/>
              </w:rPr>
              <w:t>Boiler C</w:t>
            </w:r>
          </w:p>
        </w:tc>
        <w:tc>
          <w:tcPr>
            <w:tcW w:w="2610" w:type="dxa"/>
            <w:vAlign w:val="center"/>
          </w:tcPr>
          <w:p w14:paraId="4909DFE1" w14:textId="1F2E4DE7" w:rsidR="00C37D2D" w:rsidRPr="001B1CC8" w:rsidRDefault="00C37D2D" w:rsidP="00AC1BCD">
            <w:pPr>
              <w:jc w:val="center"/>
              <w:rPr>
                <w:sz w:val="22"/>
                <w:szCs w:val="22"/>
              </w:rPr>
            </w:pPr>
            <w:r w:rsidRPr="00C37D2D">
              <w:rPr>
                <w:sz w:val="22"/>
                <w:szCs w:val="22"/>
              </w:rPr>
              <w:t>759 (fuel oil)</w:t>
            </w:r>
          </w:p>
        </w:tc>
        <w:tc>
          <w:tcPr>
            <w:tcW w:w="3870" w:type="dxa"/>
            <w:vAlign w:val="center"/>
          </w:tcPr>
          <w:p w14:paraId="693E74B1" w14:textId="11DA8B7F" w:rsidR="00C37D2D" w:rsidRPr="001B1CC8" w:rsidRDefault="00C37D2D" w:rsidP="00AC1BCD">
            <w:pPr>
              <w:jc w:val="center"/>
              <w:rPr>
                <w:sz w:val="22"/>
                <w:szCs w:val="22"/>
              </w:rPr>
            </w:pPr>
            <w:r w:rsidRPr="00C37D2D">
              <w:rPr>
                <w:sz w:val="22"/>
                <w:szCs w:val="22"/>
              </w:rPr>
              <w:t>fuel oil, spec. waste oil, natural gas, black liquor, soap</w:t>
            </w:r>
          </w:p>
        </w:tc>
        <w:tc>
          <w:tcPr>
            <w:tcW w:w="990" w:type="dxa"/>
            <w:vAlign w:val="center"/>
          </w:tcPr>
          <w:p w14:paraId="1C0FA09D" w14:textId="13B8935A" w:rsidR="00C37D2D" w:rsidRPr="001B1CC8" w:rsidRDefault="00C37D2D" w:rsidP="00AC1BCD">
            <w:pPr>
              <w:jc w:val="center"/>
              <w:rPr>
                <w:sz w:val="22"/>
                <w:szCs w:val="22"/>
              </w:rPr>
            </w:pPr>
            <w:r>
              <w:rPr>
                <w:sz w:val="22"/>
                <w:szCs w:val="22"/>
              </w:rPr>
              <w:t>CREC</w:t>
            </w:r>
          </w:p>
        </w:tc>
      </w:tr>
      <w:tr w:rsidR="00C37D2D" w:rsidRPr="00DF1D98" w14:paraId="33FB0B4A" w14:textId="77777777" w:rsidTr="00D917C7">
        <w:trPr>
          <w:jc w:val="center"/>
        </w:trPr>
        <w:tc>
          <w:tcPr>
            <w:tcW w:w="2055" w:type="dxa"/>
            <w:vAlign w:val="center"/>
          </w:tcPr>
          <w:p w14:paraId="4DF30F97" w14:textId="69B0E5C6" w:rsidR="00C37D2D" w:rsidRPr="001B1CC8" w:rsidRDefault="00C37D2D" w:rsidP="00AC1BCD">
            <w:pPr>
              <w:rPr>
                <w:sz w:val="22"/>
                <w:szCs w:val="22"/>
              </w:rPr>
            </w:pPr>
            <w:r w:rsidRPr="002412C0">
              <w:rPr>
                <w:bCs/>
                <w:iCs/>
                <w:szCs w:val="24"/>
              </w:rPr>
              <w:t>Cogen Boiler #6</w:t>
            </w:r>
          </w:p>
        </w:tc>
        <w:tc>
          <w:tcPr>
            <w:tcW w:w="2610" w:type="dxa"/>
            <w:vAlign w:val="center"/>
          </w:tcPr>
          <w:p w14:paraId="00A9FD5C" w14:textId="3345DDDD" w:rsidR="00C37D2D" w:rsidRPr="001B1CC8" w:rsidRDefault="00C37D2D" w:rsidP="00AC1BCD">
            <w:pPr>
              <w:jc w:val="center"/>
              <w:rPr>
                <w:sz w:val="22"/>
                <w:szCs w:val="22"/>
              </w:rPr>
            </w:pPr>
            <w:r w:rsidRPr="00C37D2D">
              <w:rPr>
                <w:sz w:val="22"/>
                <w:szCs w:val="22"/>
              </w:rPr>
              <w:t>610 (annual) 630 (24-hr)</w:t>
            </w:r>
          </w:p>
        </w:tc>
        <w:tc>
          <w:tcPr>
            <w:tcW w:w="3870" w:type="dxa"/>
            <w:vMerge w:val="restart"/>
            <w:vAlign w:val="center"/>
          </w:tcPr>
          <w:p w14:paraId="29070AC8" w14:textId="5D3C1226" w:rsidR="00C37D2D" w:rsidRPr="001B1CC8" w:rsidRDefault="00C37D2D" w:rsidP="00AC1BCD">
            <w:pPr>
              <w:jc w:val="center"/>
              <w:rPr>
                <w:sz w:val="22"/>
                <w:szCs w:val="22"/>
              </w:rPr>
            </w:pPr>
            <w:r w:rsidRPr="00C37D2D">
              <w:rPr>
                <w:sz w:val="22"/>
                <w:szCs w:val="22"/>
              </w:rPr>
              <w:t>fuel oil, natural gas, biomass, coal, TDF, DPC, CDD, CTW, specification and off-spec. waste oil, lime kiln rejects, LVHCs, HVLCs, SOGs, OCC residuals</w:t>
            </w:r>
          </w:p>
        </w:tc>
        <w:tc>
          <w:tcPr>
            <w:tcW w:w="990" w:type="dxa"/>
            <w:vMerge w:val="restart"/>
            <w:vAlign w:val="center"/>
          </w:tcPr>
          <w:p w14:paraId="0E3575F6" w14:textId="42F43CF4" w:rsidR="00C37D2D" w:rsidRPr="001B1CC8" w:rsidRDefault="00C37D2D" w:rsidP="00AC1BCD">
            <w:pPr>
              <w:jc w:val="center"/>
              <w:rPr>
                <w:sz w:val="22"/>
                <w:szCs w:val="22"/>
              </w:rPr>
            </w:pPr>
            <w:r w:rsidRPr="00C37D2D">
              <w:rPr>
                <w:sz w:val="22"/>
                <w:szCs w:val="22"/>
              </w:rPr>
              <w:t>6&amp;7</w:t>
            </w:r>
          </w:p>
        </w:tc>
      </w:tr>
      <w:tr w:rsidR="00C37D2D" w:rsidRPr="00DF1D98" w14:paraId="4FD45098" w14:textId="77777777" w:rsidTr="00D917C7">
        <w:trPr>
          <w:jc w:val="center"/>
        </w:trPr>
        <w:tc>
          <w:tcPr>
            <w:tcW w:w="2055" w:type="dxa"/>
            <w:vAlign w:val="center"/>
          </w:tcPr>
          <w:p w14:paraId="40ECD875" w14:textId="56FDF9C9" w:rsidR="00C37D2D" w:rsidRPr="001B1CC8" w:rsidRDefault="00C37D2D" w:rsidP="00AC1BCD">
            <w:pPr>
              <w:rPr>
                <w:sz w:val="22"/>
                <w:szCs w:val="22"/>
              </w:rPr>
            </w:pPr>
            <w:r w:rsidRPr="002412C0">
              <w:rPr>
                <w:bCs/>
                <w:iCs/>
                <w:szCs w:val="24"/>
              </w:rPr>
              <w:t>Cogen Boiler #</w:t>
            </w:r>
            <w:r>
              <w:rPr>
                <w:bCs/>
                <w:iCs/>
                <w:szCs w:val="24"/>
              </w:rPr>
              <w:t>7</w:t>
            </w:r>
          </w:p>
        </w:tc>
        <w:tc>
          <w:tcPr>
            <w:tcW w:w="2610" w:type="dxa"/>
            <w:vAlign w:val="center"/>
          </w:tcPr>
          <w:p w14:paraId="5938D609" w14:textId="67A9D161" w:rsidR="00C37D2D" w:rsidRPr="001B1CC8" w:rsidRDefault="00C37D2D" w:rsidP="00AC1BCD">
            <w:pPr>
              <w:jc w:val="center"/>
              <w:rPr>
                <w:sz w:val="22"/>
                <w:szCs w:val="22"/>
              </w:rPr>
            </w:pPr>
            <w:r w:rsidRPr="00C37D2D">
              <w:rPr>
                <w:sz w:val="22"/>
                <w:szCs w:val="22"/>
              </w:rPr>
              <w:t>610 (annual) 630 (24-hr)</w:t>
            </w:r>
          </w:p>
        </w:tc>
        <w:tc>
          <w:tcPr>
            <w:tcW w:w="3870" w:type="dxa"/>
            <w:vMerge/>
            <w:vAlign w:val="center"/>
          </w:tcPr>
          <w:p w14:paraId="3780BB52" w14:textId="77777777" w:rsidR="00C37D2D" w:rsidRPr="001B1CC8" w:rsidRDefault="00C37D2D" w:rsidP="00AC1BCD">
            <w:pPr>
              <w:jc w:val="center"/>
              <w:rPr>
                <w:sz w:val="22"/>
                <w:szCs w:val="22"/>
              </w:rPr>
            </w:pPr>
          </w:p>
        </w:tc>
        <w:tc>
          <w:tcPr>
            <w:tcW w:w="990" w:type="dxa"/>
            <w:vMerge/>
            <w:vAlign w:val="center"/>
          </w:tcPr>
          <w:p w14:paraId="609F06CA" w14:textId="77777777" w:rsidR="00C37D2D" w:rsidRPr="001B1CC8" w:rsidRDefault="00C37D2D" w:rsidP="00AC1BCD">
            <w:pPr>
              <w:jc w:val="center"/>
              <w:rPr>
                <w:sz w:val="22"/>
                <w:szCs w:val="22"/>
              </w:rPr>
            </w:pPr>
          </w:p>
        </w:tc>
      </w:tr>
    </w:tbl>
    <w:p w14:paraId="18E057CB" w14:textId="77777777" w:rsidR="00793874" w:rsidRPr="001C0656" w:rsidRDefault="00793874" w:rsidP="00AC1BCD"/>
    <w:p w14:paraId="7194B772" w14:textId="77777777" w:rsidR="007A0375" w:rsidRPr="001C0656" w:rsidRDefault="007A0375" w:rsidP="00AC1BCD">
      <w:pPr>
        <w:pStyle w:val="Heading3"/>
      </w:pPr>
      <w:r w:rsidRPr="001C0656">
        <w:t>Definitions</w:t>
      </w:r>
    </w:p>
    <w:p w14:paraId="714E9329" w14:textId="77777777" w:rsidR="007A0375" w:rsidRPr="001C0656" w:rsidRDefault="007A0375" w:rsidP="00AC1BCD">
      <w:pPr>
        <w:rPr>
          <w:szCs w:val="24"/>
        </w:rPr>
      </w:pPr>
    </w:p>
    <w:p w14:paraId="435A2646" w14:textId="77777777" w:rsidR="00DF1D98" w:rsidRPr="00507B95" w:rsidRDefault="00DF1D98" w:rsidP="00AC1BCD">
      <w:pPr>
        <w:ind w:left="720"/>
        <w:rPr>
          <w:szCs w:val="24"/>
        </w:rPr>
      </w:pPr>
      <w:r w:rsidRPr="00507B95">
        <w:rPr>
          <w:i/>
          <w:szCs w:val="24"/>
          <w:u w:val="single"/>
        </w:rPr>
        <w:t>Distillate Fuel</w:t>
      </w:r>
      <w:r w:rsidRPr="00507B95">
        <w:rPr>
          <w:szCs w:val="24"/>
        </w:rPr>
        <w:t xml:space="preserve"> means the following:</w:t>
      </w:r>
    </w:p>
    <w:p w14:paraId="747B336D" w14:textId="77777777" w:rsidR="00DF1D98" w:rsidRPr="00507B95" w:rsidRDefault="00DF1D98" w:rsidP="00AC1BCD">
      <w:pPr>
        <w:numPr>
          <w:ilvl w:val="0"/>
          <w:numId w:val="11"/>
        </w:numPr>
        <w:rPr>
          <w:szCs w:val="24"/>
        </w:rPr>
      </w:pPr>
      <w:r w:rsidRPr="00507B95">
        <w:rPr>
          <w:color w:val="000000"/>
          <w:szCs w:val="24"/>
          <w:shd w:val="clear" w:color="auto" w:fill="FFFFFF"/>
        </w:rPr>
        <w:t>Fuel oil that complies with the specifications for fuel oil numbers 1 or 2, as defined by the American Society for Testing and Materials (ASTM) in ASTM D396;</w:t>
      </w:r>
    </w:p>
    <w:p w14:paraId="3570E14C" w14:textId="77777777" w:rsidR="00DF1D98" w:rsidRPr="00507B95" w:rsidRDefault="00DF1D98" w:rsidP="00AC1BCD">
      <w:pPr>
        <w:numPr>
          <w:ilvl w:val="0"/>
          <w:numId w:val="11"/>
        </w:numPr>
        <w:rPr>
          <w:szCs w:val="24"/>
        </w:rPr>
      </w:pPr>
      <w:r w:rsidRPr="00507B95">
        <w:rPr>
          <w:szCs w:val="24"/>
          <w:shd w:val="clear" w:color="auto" w:fill="FFFFFF"/>
        </w:rPr>
        <w:t>Diesel fuel oil numbers 1 or 2, as defined in ASTM D975;</w:t>
      </w:r>
    </w:p>
    <w:p w14:paraId="467FEE76" w14:textId="77777777" w:rsidR="00DF1D98" w:rsidRPr="00507B95" w:rsidRDefault="00DF1D98" w:rsidP="00AC1BCD">
      <w:pPr>
        <w:numPr>
          <w:ilvl w:val="0"/>
          <w:numId w:val="11"/>
        </w:numPr>
        <w:rPr>
          <w:szCs w:val="24"/>
        </w:rPr>
      </w:pPr>
      <w:r w:rsidRPr="00507B95">
        <w:rPr>
          <w:szCs w:val="24"/>
          <w:shd w:val="clear" w:color="auto" w:fill="FFFFFF"/>
        </w:rPr>
        <w:t>Kerosene, as defined in ASTM D3699;</w:t>
      </w:r>
    </w:p>
    <w:p w14:paraId="34EBF424" w14:textId="77777777" w:rsidR="00DF1D98" w:rsidRPr="00507B95" w:rsidRDefault="00DF1D98" w:rsidP="00AC1BCD">
      <w:pPr>
        <w:numPr>
          <w:ilvl w:val="0"/>
          <w:numId w:val="11"/>
        </w:numPr>
        <w:rPr>
          <w:szCs w:val="24"/>
        </w:rPr>
      </w:pPr>
      <w:r w:rsidRPr="00507B95">
        <w:rPr>
          <w:szCs w:val="24"/>
        </w:rPr>
        <w:t>B</w:t>
      </w:r>
      <w:r w:rsidRPr="00507B95">
        <w:rPr>
          <w:szCs w:val="24"/>
          <w:shd w:val="clear" w:color="auto" w:fill="FFFFFF"/>
        </w:rPr>
        <w:t xml:space="preserve">iodiesel, as defined in ASTM D6751; or </w:t>
      </w:r>
    </w:p>
    <w:p w14:paraId="5B01E9A9" w14:textId="77777777" w:rsidR="00DF1D98" w:rsidRPr="00507B95" w:rsidRDefault="00DF1D98" w:rsidP="00AC1BCD">
      <w:pPr>
        <w:numPr>
          <w:ilvl w:val="0"/>
          <w:numId w:val="11"/>
        </w:numPr>
        <w:rPr>
          <w:szCs w:val="24"/>
        </w:rPr>
      </w:pPr>
      <w:r w:rsidRPr="00507B95">
        <w:rPr>
          <w:szCs w:val="24"/>
          <w:shd w:val="clear" w:color="auto" w:fill="FFFFFF"/>
        </w:rPr>
        <w:t>Biodiesel blends, as defined in ASTM D7467.</w:t>
      </w:r>
    </w:p>
    <w:p w14:paraId="736DD767" w14:textId="77777777" w:rsidR="007A0375" w:rsidRDefault="007A0375" w:rsidP="00AC1BCD">
      <w:pPr>
        <w:rPr>
          <w:szCs w:val="24"/>
        </w:rPr>
      </w:pPr>
    </w:p>
    <w:p w14:paraId="57ED708B" w14:textId="77777777" w:rsidR="00823A47" w:rsidRPr="003F54CD" w:rsidRDefault="00823A47" w:rsidP="00AC1BCD">
      <w:pPr>
        <w:ind w:left="720"/>
        <w:rPr>
          <w:szCs w:val="24"/>
        </w:rPr>
      </w:pPr>
      <w:r>
        <w:rPr>
          <w:i/>
          <w:szCs w:val="24"/>
          <w:u w:val="single"/>
        </w:rPr>
        <w:t>Records</w:t>
      </w:r>
      <w:r>
        <w:rPr>
          <w:szCs w:val="24"/>
        </w:rPr>
        <w:t xml:space="preserve"> or</w:t>
      </w:r>
      <w:r>
        <w:rPr>
          <w:i/>
          <w:szCs w:val="24"/>
          <w:u w:val="single"/>
        </w:rPr>
        <w:t xml:space="preserve"> Logs</w:t>
      </w:r>
      <w:r>
        <w:rPr>
          <w:szCs w:val="24"/>
        </w:rPr>
        <w:t xml:space="preserve"> mean either hardcopy or electronic records.</w:t>
      </w:r>
    </w:p>
    <w:p w14:paraId="16794C5E" w14:textId="77777777" w:rsidR="00A8166B" w:rsidRPr="000B0449" w:rsidRDefault="00A8166B" w:rsidP="00AC1BCD">
      <w:pPr>
        <w:rPr>
          <w:szCs w:val="24"/>
        </w:rPr>
      </w:pPr>
    </w:p>
    <w:p w14:paraId="37277596" w14:textId="77777777" w:rsidR="00D77586" w:rsidRPr="009B2F2D" w:rsidRDefault="00D77586" w:rsidP="00AC1BCD">
      <w:pPr>
        <w:pStyle w:val="Heading3"/>
      </w:pPr>
      <w:r w:rsidRPr="009B2F2D">
        <w:t>Project Description</w:t>
      </w:r>
    </w:p>
    <w:p w14:paraId="7FD6CB5D" w14:textId="77777777" w:rsidR="00D77586" w:rsidRPr="009B2F2D" w:rsidRDefault="00D77586" w:rsidP="00AC1BCD">
      <w:pPr>
        <w:ind w:left="720"/>
        <w:rPr>
          <w:szCs w:val="24"/>
        </w:rPr>
      </w:pPr>
    </w:p>
    <w:p w14:paraId="6E44A0C0" w14:textId="78757AFD" w:rsidR="00D77586" w:rsidRDefault="00D77586" w:rsidP="00AC1BCD">
      <w:pPr>
        <w:ind w:left="720"/>
        <w:rPr>
          <w:szCs w:val="24"/>
        </w:rPr>
      </w:pPr>
      <w:r w:rsidRPr="00AB6C6B">
        <w:rPr>
          <w:szCs w:val="24"/>
        </w:rPr>
        <w:t>NDP is proposing to make physical modifications to Recovery</w:t>
      </w:r>
      <w:r w:rsidRPr="009B2F2D">
        <w:rPr>
          <w:szCs w:val="24"/>
        </w:rPr>
        <w:t xml:space="preserve"> </w:t>
      </w:r>
      <w:r w:rsidRPr="00AB6C6B">
        <w:rPr>
          <w:szCs w:val="24"/>
        </w:rPr>
        <w:t>Boiler C, Cogen Boiler #6, and Cogen Boiler #7 to incorporate the capability to combust natural gas in each unit</w:t>
      </w:r>
      <w:r w:rsidRPr="009B2F2D">
        <w:rPr>
          <w:szCs w:val="24"/>
        </w:rPr>
        <w:t xml:space="preserve"> and offset the firing of fuel oil</w:t>
      </w:r>
      <w:r w:rsidRPr="00AB6C6B">
        <w:rPr>
          <w:szCs w:val="24"/>
        </w:rPr>
        <w:t>.</w:t>
      </w:r>
      <w:r w:rsidRPr="009B2F2D">
        <w:rPr>
          <w:szCs w:val="24"/>
        </w:rPr>
        <w:t xml:space="preserve"> Although the three units </w:t>
      </w:r>
      <w:r w:rsidR="005F7311" w:rsidRPr="009B2F2D">
        <w:rPr>
          <w:szCs w:val="24"/>
        </w:rPr>
        <w:t>ha</w:t>
      </w:r>
      <w:r w:rsidR="005F7311">
        <w:rPr>
          <w:szCs w:val="24"/>
        </w:rPr>
        <w:t>ve</w:t>
      </w:r>
      <w:r w:rsidR="005F7311" w:rsidRPr="009B2F2D">
        <w:rPr>
          <w:szCs w:val="24"/>
        </w:rPr>
        <w:t xml:space="preserve"> </w:t>
      </w:r>
      <w:r w:rsidRPr="009B2F2D">
        <w:rPr>
          <w:szCs w:val="24"/>
        </w:rPr>
        <w:t xml:space="preserve">natural gas listed as a licensed fuel in the facility’s Part 70 </w:t>
      </w:r>
      <w:r w:rsidR="00AB0FEA">
        <w:rPr>
          <w:szCs w:val="24"/>
        </w:rPr>
        <w:t>license</w:t>
      </w:r>
      <w:r w:rsidRPr="009B2F2D">
        <w:rPr>
          <w:szCs w:val="24"/>
        </w:rPr>
        <w:t xml:space="preserve">, the equipment and infrastructure required to fire this fuel was not installed. As the 18-month time period to begin construction has been exceeded since the issuance of the facility’s </w:t>
      </w:r>
      <w:r w:rsidR="005F7311" w:rsidRPr="009B2F2D">
        <w:rPr>
          <w:szCs w:val="24"/>
        </w:rPr>
        <w:t xml:space="preserve">permit which </w:t>
      </w:r>
      <w:r w:rsidRPr="009B2F2D">
        <w:rPr>
          <w:szCs w:val="24"/>
        </w:rPr>
        <w:t>initial</w:t>
      </w:r>
      <w:r w:rsidR="005F7311">
        <w:rPr>
          <w:szCs w:val="24"/>
        </w:rPr>
        <w:t xml:space="preserve">ly </w:t>
      </w:r>
      <w:r w:rsidRPr="009B2F2D">
        <w:rPr>
          <w:szCs w:val="24"/>
        </w:rPr>
        <w:t>addressed the equipment and infrastructure required to fire natural gas, this license will serve to re-evaluate the requirements associated with firing natural gas and re-</w:t>
      </w:r>
      <w:r w:rsidR="005F7311">
        <w:rPr>
          <w:szCs w:val="24"/>
        </w:rPr>
        <w:t>authorize an</w:t>
      </w:r>
      <w:r w:rsidRPr="009B2F2D">
        <w:rPr>
          <w:szCs w:val="24"/>
        </w:rPr>
        <w:t xml:space="preserve"> 18-month timeframe to begin construction as allowed in 06-096 C.M.R. ch. 115(3)(E)(5)(c). </w:t>
      </w:r>
    </w:p>
    <w:p w14:paraId="69C8B647" w14:textId="77777777" w:rsidR="00BF60DB" w:rsidRDefault="00BF60DB" w:rsidP="00AC1BCD">
      <w:pPr>
        <w:ind w:left="720"/>
        <w:rPr>
          <w:szCs w:val="24"/>
        </w:rPr>
      </w:pPr>
    </w:p>
    <w:p w14:paraId="7AE7B134" w14:textId="459CA57D" w:rsidR="00BF60DB" w:rsidRDefault="00BF60DB" w:rsidP="00AC1BCD">
      <w:pPr>
        <w:ind w:left="720"/>
        <w:rPr>
          <w:szCs w:val="24"/>
        </w:rPr>
      </w:pPr>
      <w:r>
        <w:rPr>
          <w:szCs w:val="24"/>
        </w:rPr>
        <w:t xml:space="preserve">The addition of natural gas to </w:t>
      </w:r>
      <w:r w:rsidRPr="00AB6C6B">
        <w:rPr>
          <w:szCs w:val="24"/>
        </w:rPr>
        <w:t>Recovery</w:t>
      </w:r>
      <w:r w:rsidRPr="009B2F2D">
        <w:rPr>
          <w:szCs w:val="24"/>
        </w:rPr>
        <w:t xml:space="preserve"> </w:t>
      </w:r>
      <w:r w:rsidRPr="00AB6C6B">
        <w:rPr>
          <w:szCs w:val="24"/>
        </w:rPr>
        <w:t>Boiler C, Cogen Boiler #6, and Cogen Boiler #7</w:t>
      </w:r>
      <w:r>
        <w:rPr>
          <w:szCs w:val="24"/>
        </w:rPr>
        <w:t xml:space="preserve"> is not expected to result in the increased production from the facility, but rather as adding operational flexibility to the</w:t>
      </w:r>
      <w:r w:rsidR="005F7311">
        <w:rPr>
          <w:szCs w:val="24"/>
        </w:rPr>
        <w:t xml:space="preserve">se </w:t>
      </w:r>
      <w:r>
        <w:rPr>
          <w:szCs w:val="24"/>
        </w:rPr>
        <w:t>units.</w:t>
      </w:r>
      <w:r w:rsidR="00DB5E64">
        <w:rPr>
          <w:szCs w:val="24"/>
        </w:rPr>
        <w:t xml:space="preserve"> There are no other units that would be considered “affected units” as a result of this project.</w:t>
      </w:r>
    </w:p>
    <w:p w14:paraId="59D7CA3A" w14:textId="77777777" w:rsidR="00D77586" w:rsidRPr="000B0449" w:rsidRDefault="00D77586" w:rsidP="00AC1BCD">
      <w:pPr>
        <w:ind w:firstLine="720"/>
        <w:rPr>
          <w:szCs w:val="24"/>
        </w:rPr>
      </w:pPr>
    </w:p>
    <w:p w14:paraId="23AF5510" w14:textId="77777777" w:rsidR="00793874" w:rsidRPr="000B0449" w:rsidRDefault="00793874" w:rsidP="00AC1BCD">
      <w:pPr>
        <w:pStyle w:val="Heading3"/>
      </w:pPr>
      <w:r w:rsidRPr="000B0449">
        <w:t>Application Classification</w:t>
      </w:r>
    </w:p>
    <w:p w14:paraId="185F0FF2" w14:textId="77777777" w:rsidR="00B17094" w:rsidRDefault="00B17094" w:rsidP="00AC1BCD">
      <w:pPr>
        <w:ind w:left="720"/>
        <w:rPr>
          <w:szCs w:val="24"/>
        </w:rPr>
      </w:pPr>
    </w:p>
    <w:p w14:paraId="11F3752F" w14:textId="77777777" w:rsidR="00AE045F" w:rsidRDefault="00AE045F" w:rsidP="00AC1BCD">
      <w:pPr>
        <w:ind w:left="720"/>
        <w:rPr>
          <w:szCs w:val="24"/>
        </w:rPr>
      </w:pPr>
      <w:r>
        <w:t>All rules, regulations, or statutes referenced in this air emission license refer to the amended version in effect as of the issued date of this license.</w:t>
      </w:r>
    </w:p>
    <w:p w14:paraId="43E33D61" w14:textId="77777777" w:rsidR="00AE045F" w:rsidRPr="000B0449" w:rsidRDefault="00AE045F" w:rsidP="00AC1BCD">
      <w:pPr>
        <w:ind w:left="720"/>
        <w:rPr>
          <w:szCs w:val="24"/>
        </w:rPr>
      </w:pPr>
    </w:p>
    <w:p w14:paraId="5B7A7227" w14:textId="5E072A62" w:rsidR="00B17094" w:rsidRPr="000B0449" w:rsidRDefault="00B17094" w:rsidP="00AC1BCD">
      <w:pPr>
        <w:ind w:left="720"/>
        <w:rPr>
          <w:b/>
          <w:i/>
          <w:szCs w:val="24"/>
        </w:rPr>
      </w:pPr>
      <w:r w:rsidRPr="000B0449">
        <w:rPr>
          <w:szCs w:val="24"/>
        </w:rPr>
        <w:t xml:space="preserve">The application for </w:t>
      </w:r>
      <w:r w:rsidR="007C69F5">
        <w:rPr>
          <w:szCs w:val="24"/>
        </w:rPr>
        <w:t xml:space="preserve">NDP </w:t>
      </w:r>
      <w:r w:rsidRPr="000B0449">
        <w:rPr>
          <w:szCs w:val="24"/>
        </w:rPr>
        <w:t>does not violate any applicable federal or state requirements and does not reduce monitorin</w:t>
      </w:r>
      <w:r w:rsidR="008B4591" w:rsidRPr="000B0449">
        <w:rPr>
          <w:szCs w:val="24"/>
        </w:rPr>
        <w:t>g, reporting, testing, or record</w:t>
      </w:r>
      <w:r w:rsidRPr="000B0449">
        <w:rPr>
          <w:szCs w:val="24"/>
        </w:rPr>
        <w:t>keeping</w:t>
      </w:r>
      <w:r w:rsidR="008B4591" w:rsidRPr="000B0449">
        <w:rPr>
          <w:szCs w:val="24"/>
        </w:rPr>
        <w:t xml:space="preserve"> requirements</w:t>
      </w:r>
      <w:r w:rsidRPr="000B0449">
        <w:rPr>
          <w:szCs w:val="24"/>
        </w:rPr>
        <w:t>.</w:t>
      </w:r>
      <w:r w:rsidR="008B4591" w:rsidRPr="000B0449">
        <w:rPr>
          <w:szCs w:val="24"/>
        </w:rPr>
        <w:t xml:space="preserve"> </w:t>
      </w:r>
      <w:r w:rsidRPr="000B0449">
        <w:rPr>
          <w:szCs w:val="24"/>
        </w:rPr>
        <w:t xml:space="preserve"> </w:t>
      </w:r>
    </w:p>
    <w:p w14:paraId="037A24DA" w14:textId="77777777" w:rsidR="00B17094" w:rsidRPr="000B0449" w:rsidRDefault="00B17094" w:rsidP="00AC1BCD">
      <w:pPr>
        <w:ind w:left="720"/>
        <w:rPr>
          <w:szCs w:val="24"/>
        </w:rPr>
      </w:pPr>
    </w:p>
    <w:p w14:paraId="7FE47B22" w14:textId="77777777" w:rsidR="00B17094" w:rsidRDefault="00846EDB" w:rsidP="00AC1BCD">
      <w:pPr>
        <w:ind w:left="720"/>
        <w:rPr>
          <w:szCs w:val="24"/>
        </w:rPr>
      </w:pPr>
      <w:r w:rsidRPr="000B0449">
        <w:rPr>
          <w:szCs w:val="24"/>
        </w:rPr>
        <w:t>T</w:t>
      </w:r>
      <w:r w:rsidR="00B17094" w:rsidRPr="000B0449">
        <w:rPr>
          <w:szCs w:val="24"/>
        </w:rPr>
        <w:t xml:space="preserve">he modification of a major source is considered a major </w:t>
      </w:r>
      <w:r w:rsidR="008B4591" w:rsidRPr="000B0449">
        <w:rPr>
          <w:szCs w:val="24"/>
        </w:rPr>
        <w:t xml:space="preserve">or minor </w:t>
      </w:r>
      <w:r w:rsidR="00B17094" w:rsidRPr="000B0449">
        <w:rPr>
          <w:szCs w:val="24"/>
        </w:rPr>
        <w:t xml:space="preserve">modification based on whether or not expected emissions increases exceed the “Significant </w:t>
      </w:r>
      <w:r w:rsidR="008B4591" w:rsidRPr="000B0449">
        <w:rPr>
          <w:szCs w:val="24"/>
        </w:rPr>
        <w:t>Emission Increase</w:t>
      </w:r>
      <w:r w:rsidR="00B17094" w:rsidRPr="000B0449">
        <w:rPr>
          <w:szCs w:val="24"/>
        </w:rPr>
        <w:t xml:space="preserve">” </w:t>
      </w:r>
      <w:r w:rsidR="008B4591" w:rsidRPr="000B0449">
        <w:rPr>
          <w:szCs w:val="24"/>
        </w:rPr>
        <w:t xml:space="preserve">levels </w:t>
      </w:r>
      <w:r w:rsidR="00B17094" w:rsidRPr="000B0449">
        <w:rPr>
          <w:szCs w:val="24"/>
        </w:rPr>
        <w:t xml:space="preserve">as given in </w:t>
      </w:r>
      <w:r w:rsidR="006B41FC" w:rsidRPr="000B0449">
        <w:rPr>
          <w:i/>
          <w:szCs w:val="24"/>
        </w:rPr>
        <w:t>Definitions Regulation</w:t>
      </w:r>
      <w:r w:rsidR="006B41FC" w:rsidRPr="000B0449">
        <w:rPr>
          <w:szCs w:val="24"/>
        </w:rPr>
        <w:t xml:space="preserve">, 06-096 </w:t>
      </w:r>
      <w:r w:rsidR="00496A52" w:rsidRPr="000B0449">
        <w:rPr>
          <w:szCs w:val="24"/>
        </w:rPr>
        <w:t>Code of Maine Rules (</w:t>
      </w:r>
      <w:r w:rsidR="006B41FC" w:rsidRPr="000B0449">
        <w:rPr>
          <w:szCs w:val="24"/>
        </w:rPr>
        <w:t>C</w:t>
      </w:r>
      <w:r w:rsidR="0096590B">
        <w:rPr>
          <w:szCs w:val="24"/>
        </w:rPr>
        <w:t>.</w:t>
      </w:r>
      <w:r w:rsidR="006B41FC" w:rsidRPr="000B0449">
        <w:rPr>
          <w:szCs w:val="24"/>
        </w:rPr>
        <w:t>M</w:t>
      </w:r>
      <w:r w:rsidR="0096590B">
        <w:rPr>
          <w:szCs w:val="24"/>
        </w:rPr>
        <w:t>.</w:t>
      </w:r>
      <w:r w:rsidR="006B41FC" w:rsidRPr="000B0449">
        <w:rPr>
          <w:szCs w:val="24"/>
        </w:rPr>
        <w:t>R</w:t>
      </w:r>
      <w:r w:rsidR="0096590B">
        <w:rPr>
          <w:szCs w:val="24"/>
        </w:rPr>
        <w:t>.</w:t>
      </w:r>
      <w:r w:rsidR="00496A52" w:rsidRPr="000B0449">
        <w:rPr>
          <w:szCs w:val="24"/>
        </w:rPr>
        <w:t>)</w:t>
      </w:r>
      <w:r w:rsidR="0096590B">
        <w:rPr>
          <w:szCs w:val="24"/>
        </w:rPr>
        <w:t xml:space="preserve"> ch. 100</w:t>
      </w:r>
      <w:r w:rsidR="00B17094" w:rsidRPr="000B0449">
        <w:rPr>
          <w:szCs w:val="24"/>
        </w:rPr>
        <w:t>.</w:t>
      </w:r>
      <w:r w:rsidR="00A8166B" w:rsidRPr="00A8166B">
        <w:rPr>
          <w:szCs w:val="24"/>
        </w:rPr>
        <w:t xml:space="preserve"> </w:t>
      </w:r>
      <w:r w:rsidR="00A8166B" w:rsidRPr="00391B4D">
        <w:rPr>
          <w:szCs w:val="24"/>
        </w:rPr>
        <w:t xml:space="preserve">For a major stationary source, the expected emissions increase from each new, modified, or affected unit may be calculated as equal to the difference between the post-modification </w:t>
      </w:r>
      <w:r w:rsidR="00A8166B" w:rsidRPr="00391B4D">
        <w:rPr>
          <w:szCs w:val="24"/>
        </w:rPr>
        <w:lastRenderedPageBreak/>
        <w:t>projected actual emissions and the baseline actual emissions for each NSR regulated pollutant</w:t>
      </w:r>
      <w:r w:rsidR="00A8166B">
        <w:rPr>
          <w:szCs w:val="24"/>
        </w:rPr>
        <w:t>.</w:t>
      </w:r>
    </w:p>
    <w:p w14:paraId="7B54D38A" w14:textId="77777777" w:rsidR="00A8166B" w:rsidRDefault="00A8166B" w:rsidP="00AC1BCD">
      <w:pPr>
        <w:rPr>
          <w:szCs w:val="24"/>
        </w:rPr>
      </w:pPr>
    </w:p>
    <w:p w14:paraId="00444FA5" w14:textId="77777777" w:rsidR="00A8166B" w:rsidRPr="00C06FA3" w:rsidRDefault="00A8166B" w:rsidP="00AC1BCD">
      <w:pPr>
        <w:pStyle w:val="ListParagraph"/>
        <w:numPr>
          <w:ilvl w:val="0"/>
          <w:numId w:val="18"/>
        </w:numPr>
      </w:pPr>
      <w:r w:rsidRPr="00C06FA3">
        <w:t>Baseline Actual Emissions</w:t>
      </w:r>
    </w:p>
    <w:p w14:paraId="57B01FD1" w14:textId="77777777" w:rsidR="00A8166B" w:rsidRDefault="00A8166B" w:rsidP="00AC1BCD">
      <w:pPr>
        <w:ind w:left="1080"/>
        <w:rPr>
          <w:szCs w:val="24"/>
        </w:rPr>
      </w:pPr>
    </w:p>
    <w:p w14:paraId="1AC17B95" w14:textId="1C2FB059" w:rsidR="00A8166B" w:rsidRDefault="00A8166B" w:rsidP="00AC1BCD">
      <w:pPr>
        <w:ind w:left="1080"/>
        <w:rPr>
          <w:szCs w:val="24"/>
        </w:rPr>
      </w:pPr>
      <w:r>
        <w:rPr>
          <w:szCs w:val="24"/>
        </w:rPr>
        <w:t xml:space="preserve">Baseline actual emissions (BAE) are equal to the average annual emissions from any consecutive 24-month period within the </w:t>
      </w:r>
      <w:r w:rsidRPr="00A5186A">
        <w:rPr>
          <w:szCs w:val="24"/>
        </w:rPr>
        <w:t xml:space="preserve">ten </w:t>
      </w:r>
      <w:r>
        <w:rPr>
          <w:szCs w:val="24"/>
        </w:rPr>
        <w:t>years prior to submittal of a complete license application</w:t>
      </w:r>
      <w:r w:rsidRPr="007C69F5">
        <w:rPr>
          <w:szCs w:val="24"/>
        </w:rPr>
        <w:t xml:space="preserve">. </w:t>
      </w:r>
      <w:r w:rsidR="007C69F5" w:rsidRPr="007C69F5">
        <w:rPr>
          <w:szCs w:val="24"/>
        </w:rPr>
        <w:t>NDP</w:t>
      </w:r>
      <w:r w:rsidRPr="007C69F5">
        <w:rPr>
          <w:szCs w:val="24"/>
        </w:rPr>
        <w:t xml:space="preserve"> has proposed using </w:t>
      </w:r>
      <w:r w:rsidR="007C69F5" w:rsidRPr="007C69F5">
        <w:rPr>
          <w:szCs w:val="24"/>
        </w:rPr>
        <w:t>01</w:t>
      </w:r>
      <w:r w:rsidR="0013206E" w:rsidRPr="007C69F5">
        <w:rPr>
          <w:szCs w:val="24"/>
        </w:rPr>
        <w:t>/</w:t>
      </w:r>
      <w:r w:rsidR="007C69F5" w:rsidRPr="007C69F5">
        <w:rPr>
          <w:szCs w:val="24"/>
        </w:rPr>
        <w:t>2017</w:t>
      </w:r>
      <w:r w:rsidR="0013206E" w:rsidRPr="007C69F5">
        <w:rPr>
          <w:szCs w:val="24"/>
        </w:rPr>
        <w:t xml:space="preserve"> – </w:t>
      </w:r>
      <w:r w:rsidR="007C69F5" w:rsidRPr="007C69F5">
        <w:rPr>
          <w:szCs w:val="24"/>
        </w:rPr>
        <w:t>12</w:t>
      </w:r>
      <w:r w:rsidR="0013206E" w:rsidRPr="007C69F5">
        <w:rPr>
          <w:szCs w:val="24"/>
        </w:rPr>
        <w:t>/</w:t>
      </w:r>
      <w:r w:rsidR="007C69F5" w:rsidRPr="007C69F5">
        <w:rPr>
          <w:szCs w:val="24"/>
        </w:rPr>
        <w:t>2018</w:t>
      </w:r>
      <w:r>
        <w:rPr>
          <w:szCs w:val="24"/>
        </w:rPr>
        <w:t xml:space="preserve"> as the 24</w:t>
      </w:r>
      <w:r>
        <w:rPr>
          <w:szCs w:val="24"/>
        </w:rPr>
        <w:noBreakHyphen/>
        <w:t xml:space="preserve">month baseline period from which to determine baseline actual emissions for all pollutants for emission units </w:t>
      </w:r>
      <w:r w:rsidR="00DB5E64">
        <w:rPr>
          <w:szCs w:val="24"/>
        </w:rPr>
        <w:t xml:space="preserve">modified </w:t>
      </w:r>
      <w:r>
        <w:rPr>
          <w:szCs w:val="24"/>
        </w:rPr>
        <w:t xml:space="preserve">as part of this project. </w:t>
      </w:r>
    </w:p>
    <w:p w14:paraId="0BAEBF26" w14:textId="77777777" w:rsidR="00A8166B" w:rsidRDefault="00A8166B" w:rsidP="00AC1BCD">
      <w:pPr>
        <w:ind w:left="1080"/>
        <w:rPr>
          <w:szCs w:val="24"/>
        </w:rPr>
      </w:pPr>
    </w:p>
    <w:p w14:paraId="49E7DB3D" w14:textId="3472CEF2" w:rsidR="00AA1657" w:rsidRDefault="00AA1657" w:rsidP="00AC1BCD">
      <w:pPr>
        <w:ind w:left="1080"/>
        <w:rPr>
          <w:szCs w:val="24"/>
        </w:rPr>
      </w:pPr>
      <w:r>
        <w:rPr>
          <w:szCs w:val="24"/>
        </w:rPr>
        <w:t xml:space="preserve">BAE for existing modified equipment are based on actual annual emissions reported to the Department through </w:t>
      </w:r>
      <w:r>
        <w:rPr>
          <w:i/>
          <w:szCs w:val="24"/>
        </w:rPr>
        <w:t>Emissions Statements</w:t>
      </w:r>
      <w:r>
        <w:rPr>
          <w:szCs w:val="24"/>
        </w:rPr>
        <w:t>, 06-096 C.M.R. ch. 137 with the following exceptions:</w:t>
      </w:r>
    </w:p>
    <w:p w14:paraId="5ED2831B" w14:textId="77777777" w:rsidR="00AA1657" w:rsidRDefault="00AA1657" w:rsidP="00AC1BCD">
      <w:pPr>
        <w:ind w:left="1080"/>
        <w:rPr>
          <w:szCs w:val="24"/>
        </w:rPr>
      </w:pPr>
    </w:p>
    <w:p w14:paraId="3218A1D6" w14:textId="77777777" w:rsidR="00AA1657" w:rsidRPr="009B2F2D" w:rsidRDefault="00AA1657" w:rsidP="007B7EAB">
      <w:pPr>
        <w:ind w:left="1080"/>
      </w:pPr>
      <w:r w:rsidRPr="009B2F2D">
        <w:t>Emissions of PM</w:t>
      </w:r>
      <w:r w:rsidRPr="007B7EAB">
        <w:rPr>
          <w:vertAlign w:val="subscript"/>
        </w:rPr>
        <w:t>10</w:t>
      </w:r>
      <w:r w:rsidRPr="009B2F2D">
        <w:t xml:space="preserve"> and PM</w:t>
      </w:r>
      <w:r w:rsidRPr="007B7EAB">
        <w:rPr>
          <w:vertAlign w:val="subscript"/>
        </w:rPr>
        <w:t>2.5</w:t>
      </w:r>
      <w:r w:rsidRPr="009B2F2D">
        <w:t xml:space="preserve"> in the annual emissions report are for the filterable portion only. Emissions of PM</w:t>
      </w:r>
      <w:r w:rsidRPr="007B7EAB">
        <w:rPr>
          <w:vertAlign w:val="subscript"/>
        </w:rPr>
        <w:t>10</w:t>
      </w:r>
      <w:r w:rsidRPr="009B2F2D">
        <w:t xml:space="preserve"> and PM</w:t>
      </w:r>
      <w:r w:rsidRPr="007B7EAB">
        <w:rPr>
          <w:vertAlign w:val="subscript"/>
        </w:rPr>
        <w:t>2.5</w:t>
      </w:r>
      <w:r w:rsidRPr="009B2F2D">
        <w:t xml:space="preserve"> were adjusted to include emissions of condensable particulate matter (CPM).</w:t>
      </w:r>
    </w:p>
    <w:p w14:paraId="76055EFD" w14:textId="77777777" w:rsidR="00AA1657" w:rsidRDefault="00AA1657" w:rsidP="00AC1BCD">
      <w:pPr>
        <w:ind w:left="1080"/>
        <w:rPr>
          <w:b/>
          <w:i/>
          <w:szCs w:val="24"/>
        </w:rPr>
      </w:pPr>
    </w:p>
    <w:p w14:paraId="56E85F53" w14:textId="77777777" w:rsidR="00A8166B" w:rsidRDefault="00A8166B" w:rsidP="00AC1BCD">
      <w:pPr>
        <w:ind w:left="1080"/>
        <w:rPr>
          <w:szCs w:val="24"/>
        </w:rPr>
      </w:pPr>
      <w:r>
        <w:rPr>
          <w:szCs w:val="24"/>
        </w:rPr>
        <w:t xml:space="preserve">The results of this baseline analysis are presented in the table below. </w:t>
      </w:r>
    </w:p>
    <w:p w14:paraId="2B9DE9C4" w14:textId="77777777" w:rsidR="00A8166B" w:rsidRDefault="00A8166B" w:rsidP="00AC1BCD">
      <w:pPr>
        <w:rPr>
          <w:b/>
          <w:szCs w:val="24"/>
          <w:u w:val="single"/>
        </w:rPr>
      </w:pPr>
    </w:p>
    <w:p w14:paraId="641DCC48" w14:textId="46B901DF" w:rsidR="00A8166B" w:rsidRPr="004B4F67" w:rsidRDefault="00EA1019" w:rsidP="00AC1BCD">
      <w:pPr>
        <w:jc w:val="center"/>
        <w:rPr>
          <w:b/>
          <w:szCs w:val="24"/>
          <w:u w:val="single"/>
        </w:rPr>
      </w:pPr>
      <w:r>
        <w:rPr>
          <w:b/>
          <w:szCs w:val="24"/>
          <w:u w:val="single"/>
        </w:rPr>
        <w:t>Baseline Actual Emissions (</w:t>
      </w:r>
      <w:r w:rsidR="007C69F5" w:rsidRPr="007C69F5">
        <w:rPr>
          <w:b/>
          <w:bCs/>
          <w:szCs w:val="24"/>
          <w:u w:val="single"/>
        </w:rPr>
        <w:t>01/2017 – 12/2018</w:t>
      </w:r>
      <w:r w:rsidR="007C69F5">
        <w:rPr>
          <w:szCs w:val="24"/>
        </w:rPr>
        <w:t xml:space="preserve"> </w:t>
      </w:r>
      <w:r w:rsidR="00A8166B">
        <w:rPr>
          <w:b/>
          <w:szCs w:val="24"/>
          <w:u w:val="single"/>
        </w:rPr>
        <w:t>Average)</w:t>
      </w:r>
    </w:p>
    <w:p w14:paraId="6632DC51" w14:textId="77777777" w:rsidR="00A8166B" w:rsidRPr="004B4F67" w:rsidRDefault="00A8166B" w:rsidP="00AC1BCD">
      <w:pPr>
        <w:ind w:left="720"/>
        <w:rPr>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16"/>
        <w:gridCol w:w="711"/>
        <w:gridCol w:w="821"/>
        <w:gridCol w:w="821"/>
        <w:gridCol w:w="821"/>
        <w:gridCol w:w="931"/>
        <w:gridCol w:w="821"/>
        <w:gridCol w:w="711"/>
      </w:tblGrid>
      <w:tr w:rsidR="00A8166B" w:rsidRPr="004B4F67" w14:paraId="5435097D" w14:textId="77777777" w:rsidTr="00A81DAC">
        <w:trPr>
          <w:trHeight w:val="300"/>
          <w:jc w:val="center"/>
        </w:trPr>
        <w:tc>
          <w:tcPr>
            <w:tcW w:w="0" w:type="auto"/>
            <w:shd w:val="pct15" w:color="auto" w:fill="auto"/>
            <w:noWrap/>
            <w:vAlign w:val="bottom"/>
            <w:hideMark/>
          </w:tcPr>
          <w:p w14:paraId="483AFA6C" w14:textId="77777777" w:rsidR="00A8166B" w:rsidRPr="002D3122" w:rsidRDefault="00A8166B" w:rsidP="00AC1BCD">
            <w:pPr>
              <w:rPr>
                <w:b/>
                <w:color w:val="000000"/>
                <w:sz w:val="22"/>
                <w:szCs w:val="22"/>
              </w:rPr>
            </w:pPr>
            <w:r w:rsidRPr="002D3122">
              <w:rPr>
                <w:b/>
                <w:color w:val="000000"/>
                <w:sz w:val="22"/>
                <w:szCs w:val="22"/>
              </w:rPr>
              <w:t>Equipment</w:t>
            </w:r>
          </w:p>
        </w:tc>
        <w:tc>
          <w:tcPr>
            <w:tcW w:w="0" w:type="auto"/>
            <w:shd w:val="pct15" w:color="auto" w:fill="auto"/>
            <w:noWrap/>
            <w:vAlign w:val="bottom"/>
            <w:hideMark/>
          </w:tcPr>
          <w:p w14:paraId="19A5E9C3" w14:textId="77777777" w:rsidR="00A8166B" w:rsidRPr="002D3122" w:rsidRDefault="00A8166B" w:rsidP="00AC1BCD">
            <w:pPr>
              <w:jc w:val="center"/>
              <w:rPr>
                <w:b/>
                <w:color w:val="000000"/>
                <w:sz w:val="22"/>
                <w:szCs w:val="22"/>
              </w:rPr>
            </w:pPr>
            <w:r w:rsidRPr="002D3122">
              <w:rPr>
                <w:b/>
                <w:color w:val="000000"/>
                <w:sz w:val="22"/>
                <w:szCs w:val="22"/>
              </w:rPr>
              <w:t>PM</w:t>
            </w:r>
          </w:p>
          <w:p w14:paraId="0D05A03B" w14:textId="77777777" w:rsidR="00A8166B" w:rsidRPr="002D3122" w:rsidRDefault="00A8166B" w:rsidP="00AC1BCD">
            <w:pPr>
              <w:jc w:val="center"/>
              <w:rPr>
                <w:b/>
                <w:color w:val="000000"/>
                <w:sz w:val="22"/>
                <w:szCs w:val="22"/>
              </w:rPr>
            </w:pPr>
            <w:r>
              <w:rPr>
                <w:b/>
                <w:color w:val="000000"/>
                <w:sz w:val="22"/>
                <w:szCs w:val="22"/>
              </w:rPr>
              <w:t>(tpy</w:t>
            </w:r>
            <w:r w:rsidRPr="002D3122">
              <w:rPr>
                <w:b/>
                <w:color w:val="000000"/>
                <w:sz w:val="22"/>
                <w:szCs w:val="22"/>
              </w:rPr>
              <w:t>)</w:t>
            </w:r>
          </w:p>
        </w:tc>
        <w:tc>
          <w:tcPr>
            <w:tcW w:w="0" w:type="auto"/>
            <w:shd w:val="pct15" w:color="auto" w:fill="auto"/>
            <w:noWrap/>
            <w:vAlign w:val="bottom"/>
            <w:hideMark/>
          </w:tcPr>
          <w:p w14:paraId="2BE0A85D" w14:textId="77777777" w:rsidR="00A8166B" w:rsidRPr="002D3122" w:rsidRDefault="00A8166B" w:rsidP="00AC1BCD">
            <w:pPr>
              <w:jc w:val="center"/>
              <w:rPr>
                <w:b/>
                <w:color w:val="000000"/>
                <w:sz w:val="22"/>
                <w:szCs w:val="22"/>
              </w:rPr>
            </w:pPr>
            <w:r w:rsidRPr="002D3122">
              <w:rPr>
                <w:b/>
                <w:color w:val="000000"/>
                <w:sz w:val="22"/>
                <w:szCs w:val="22"/>
              </w:rPr>
              <w:t>PM</w:t>
            </w:r>
            <w:r w:rsidRPr="002D3122">
              <w:rPr>
                <w:b/>
                <w:color w:val="000000"/>
                <w:sz w:val="22"/>
                <w:szCs w:val="22"/>
                <w:vertAlign w:val="subscript"/>
              </w:rPr>
              <w:t>10</w:t>
            </w:r>
          </w:p>
          <w:p w14:paraId="64A7C2B6" w14:textId="77777777" w:rsidR="00A8166B" w:rsidRPr="002D3122" w:rsidRDefault="00A8166B" w:rsidP="00AC1BCD">
            <w:pPr>
              <w:jc w:val="center"/>
              <w:rPr>
                <w:b/>
                <w:color w:val="000000"/>
                <w:sz w:val="22"/>
                <w:szCs w:val="22"/>
              </w:rPr>
            </w:pPr>
            <w:r>
              <w:rPr>
                <w:b/>
                <w:color w:val="000000"/>
                <w:sz w:val="22"/>
                <w:szCs w:val="22"/>
              </w:rPr>
              <w:t>(tpy</w:t>
            </w:r>
            <w:r w:rsidRPr="002D3122">
              <w:rPr>
                <w:b/>
                <w:color w:val="000000"/>
                <w:sz w:val="22"/>
                <w:szCs w:val="22"/>
              </w:rPr>
              <w:t>)</w:t>
            </w:r>
          </w:p>
        </w:tc>
        <w:tc>
          <w:tcPr>
            <w:tcW w:w="0" w:type="auto"/>
            <w:shd w:val="pct15" w:color="auto" w:fill="auto"/>
            <w:noWrap/>
            <w:vAlign w:val="bottom"/>
            <w:hideMark/>
          </w:tcPr>
          <w:p w14:paraId="12E5B289" w14:textId="77777777" w:rsidR="00A8166B" w:rsidRPr="002D3122" w:rsidRDefault="00A8166B" w:rsidP="00AC1BCD">
            <w:pPr>
              <w:jc w:val="center"/>
              <w:rPr>
                <w:b/>
                <w:color w:val="000000"/>
                <w:sz w:val="22"/>
                <w:szCs w:val="22"/>
              </w:rPr>
            </w:pPr>
            <w:r w:rsidRPr="002D3122">
              <w:rPr>
                <w:b/>
                <w:color w:val="000000"/>
                <w:sz w:val="22"/>
                <w:szCs w:val="22"/>
              </w:rPr>
              <w:t>PM</w:t>
            </w:r>
            <w:r w:rsidRPr="002D3122">
              <w:rPr>
                <w:b/>
                <w:color w:val="000000"/>
                <w:sz w:val="22"/>
                <w:szCs w:val="22"/>
                <w:vertAlign w:val="subscript"/>
              </w:rPr>
              <w:t>2.5</w:t>
            </w:r>
          </w:p>
          <w:p w14:paraId="10FEF343" w14:textId="77777777" w:rsidR="00A8166B" w:rsidRPr="002D3122" w:rsidRDefault="00A8166B" w:rsidP="00AC1BCD">
            <w:pPr>
              <w:jc w:val="center"/>
              <w:rPr>
                <w:b/>
                <w:color w:val="000000"/>
                <w:sz w:val="22"/>
                <w:szCs w:val="22"/>
              </w:rPr>
            </w:pPr>
            <w:r>
              <w:rPr>
                <w:b/>
                <w:color w:val="000000"/>
                <w:sz w:val="22"/>
                <w:szCs w:val="22"/>
              </w:rPr>
              <w:t>(tpy</w:t>
            </w:r>
            <w:r w:rsidRPr="002D3122">
              <w:rPr>
                <w:b/>
                <w:color w:val="000000"/>
                <w:sz w:val="22"/>
                <w:szCs w:val="22"/>
              </w:rPr>
              <w:t>)</w:t>
            </w:r>
          </w:p>
        </w:tc>
        <w:tc>
          <w:tcPr>
            <w:tcW w:w="0" w:type="auto"/>
            <w:shd w:val="pct15" w:color="auto" w:fill="auto"/>
            <w:noWrap/>
            <w:vAlign w:val="bottom"/>
            <w:hideMark/>
          </w:tcPr>
          <w:p w14:paraId="1FC6FB60" w14:textId="77777777" w:rsidR="00A8166B" w:rsidRPr="002D3122" w:rsidRDefault="00A8166B" w:rsidP="00AC1BCD">
            <w:pPr>
              <w:jc w:val="center"/>
              <w:rPr>
                <w:b/>
                <w:color w:val="000000"/>
                <w:sz w:val="22"/>
                <w:szCs w:val="22"/>
              </w:rPr>
            </w:pPr>
            <w:r w:rsidRPr="002D3122">
              <w:rPr>
                <w:b/>
                <w:color w:val="000000"/>
                <w:sz w:val="22"/>
                <w:szCs w:val="22"/>
              </w:rPr>
              <w:t>SO</w:t>
            </w:r>
            <w:r w:rsidRPr="002D3122">
              <w:rPr>
                <w:b/>
                <w:color w:val="000000"/>
                <w:sz w:val="22"/>
                <w:szCs w:val="22"/>
                <w:vertAlign w:val="subscript"/>
              </w:rPr>
              <w:t>2</w:t>
            </w:r>
          </w:p>
          <w:p w14:paraId="2FA667E5" w14:textId="77777777" w:rsidR="00A8166B" w:rsidRPr="002D3122" w:rsidRDefault="00A8166B" w:rsidP="00AC1BCD">
            <w:pPr>
              <w:jc w:val="center"/>
              <w:rPr>
                <w:b/>
                <w:color w:val="000000"/>
                <w:sz w:val="22"/>
                <w:szCs w:val="22"/>
              </w:rPr>
            </w:pPr>
            <w:r>
              <w:rPr>
                <w:b/>
                <w:color w:val="000000"/>
                <w:sz w:val="22"/>
                <w:szCs w:val="22"/>
              </w:rPr>
              <w:t>(tpy</w:t>
            </w:r>
            <w:r w:rsidRPr="002D3122">
              <w:rPr>
                <w:b/>
                <w:color w:val="000000"/>
                <w:sz w:val="22"/>
                <w:szCs w:val="22"/>
              </w:rPr>
              <w:t>)</w:t>
            </w:r>
          </w:p>
        </w:tc>
        <w:tc>
          <w:tcPr>
            <w:tcW w:w="0" w:type="auto"/>
            <w:shd w:val="pct15" w:color="auto" w:fill="auto"/>
            <w:noWrap/>
            <w:vAlign w:val="bottom"/>
            <w:hideMark/>
          </w:tcPr>
          <w:p w14:paraId="1DEC83C0" w14:textId="77777777" w:rsidR="00A8166B" w:rsidRPr="002D3122" w:rsidRDefault="00A8166B" w:rsidP="00AC1BCD">
            <w:pPr>
              <w:jc w:val="center"/>
              <w:rPr>
                <w:b/>
                <w:color w:val="000000"/>
                <w:sz w:val="22"/>
                <w:szCs w:val="22"/>
              </w:rPr>
            </w:pPr>
            <w:r w:rsidRPr="002D3122">
              <w:rPr>
                <w:b/>
                <w:color w:val="000000"/>
                <w:sz w:val="22"/>
                <w:szCs w:val="22"/>
              </w:rPr>
              <w:t>NO</w:t>
            </w:r>
            <w:r w:rsidRPr="002D3122">
              <w:rPr>
                <w:b/>
                <w:color w:val="000000"/>
                <w:sz w:val="22"/>
                <w:szCs w:val="22"/>
                <w:vertAlign w:val="subscript"/>
              </w:rPr>
              <w:t>x</w:t>
            </w:r>
          </w:p>
          <w:p w14:paraId="15872223" w14:textId="77777777" w:rsidR="00A8166B" w:rsidRPr="002D3122" w:rsidRDefault="00A8166B" w:rsidP="00AC1BCD">
            <w:pPr>
              <w:jc w:val="center"/>
              <w:rPr>
                <w:b/>
                <w:color w:val="000000"/>
                <w:sz w:val="22"/>
                <w:szCs w:val="22"/>
              </w:rPr>
            </w:pPr>
            <w:r>
              <w:rPr>
                <w:b/>
                <w:color w:val="000000"/>
                <w:sz w:val="22"/>
                <w:szCs w:val="22"/>
              </w:rPr>
              <w:t>(tpy</w:t>
            </w:r>
            <w:r w:rsidRPr="002D3122">
              <w:rPr>
                <w:b/>
                <w:color w:val="000000"/>
                <w:sz w:val="22"/>
                <w:szCs w:val="22"/>
              </w:rPr>
              <w:t>)</w:t>
            </w:r>
          </w:p>
        </w:tc>
        <w:tc>
          <w:tcPr>
            <w:tcW w:w="0" w:type="auto"/>
            <w:shd w:val="pct15" w:color="auto" w:fill="auto"/>
            <w:noWrap/>
            <w:vAlign w:val="bottom"/>
            <w:hideMark/>
          </w:tcPr>
          <w:p w14:paraId="7C3553D4" w14:textId="77777777" w:rsidR="00A8166B" w:rsidRPr="002D3122" w:rsidRDefault="00A8166B" w:rsidP="00AC1BCD">
            <w:pPr>
              <w:jc w:val="center"/>
              <w:rPr>
                <w:b/>
                <w:color w:val="000000"/>
                <w:sz w:val="22"/>
                <w:szCs w:val="22"/>
              </w:rPr>
            </w:pPr>
            <w:r w:rsidRPr="002D3122">
              <w:rPr>
                <w:b/>
                <w:color w:val="000000"/>
                <w:sz w:val="22"/>
                <w:szCs w:val="22"/>
              </w:rPr>
              <w:t>CO</w:t>
            </w:r>
          </w:p>
          <w:p w14:paraId="24DDF849" w14:textId="77777777" w:rsidR="00A8166B" w:rsidRPr="002D3122" w:rsidRDefault="00A8166B" w:rsidP="00AC1BCD">
            <w:pPr>
              <w:jc w:val="center"/>
              <w:rPr>
                <w:b/>
                <w:color w:val="000000"/>
                <w:sz w:val="22"/>
                <w:szCs w:val="22"/>
              </w:rPr>
            </w:pPr>
            <w:r>
              <w:rPr>
                <w:b/>
                <w:color w:val="000000"/>
                <w:sz w:val="22"/>
                <w:szCs w:val="22"/>
              </w:rPr>
              <w:t>(tpy</w:t>
            </w:r>
            <w:r w:rsidRPr="002D3122">
              <w:rPr>
                <w:b/>
                <w:color w:val="000000"/>
                <w:sz w:val="22"/>
                <w:szCs w:val="22"/>
              </w:rPr>
              <w:t>)</w:t>
            </w:r>
          </w:p>
        </w:tc>
        <w:tc>
          <w:tcPr>
            <w:tcW w:w="0" w:type="auto"/>
            <w:shd w:val="pct15" w:color="auto" w:fill="auto"/>
            <w:noWrap/>
            <w:vAlign w:val="bottom"/>
            <w:hideMark/>
          </w:tcPr>
          <w:p w14:paraId="728ABD31" w14:textId="77777777" w:rsidR="00A8166B" w:rsidRPr="002D3122" w:rsidRDefault="00A8166B" w:rsidP="00AC1BCD">
            <w:pPr>
              <w:jc w:val="center"/>
              <w:rPr>
                <w:b/>
                <w:color w:val="000000"/>
                <w:sz w:val="22"/>
                <w:szCs w:val="22"/>
              </w:rPr>
            </w:pPr>
            <w:r w:rsidRPr="002D3122">
              <w:rPr>
                <w:b/>
                <w:color w:val="000000"/>
                <w:sz w:val="22"/>
                <w:szCs w:val="22"/>
              </w:rPr>
              <w:t>VOC</w:t>
            </w:r>
          </w:p>
          <w:p w14:paraId="4F88F53D" w14:textId="77777777" w:rsidR="00A8166B" w:rsidRPr="002D3122" w:rsidRDefault="00A8166B" w:rsidP="00AC1BCD">
            <w:pPr>
              <w:jc w:val="center"/>
              <w:rPr>
                <w:b/>
                <w:color w:val="000000"/>
                <w:sz w:val="22"/>
                <w:szCs w:val="22"/>
              </w:rPr>
            </w:pPr>
            <w:r>
              <w:rPr>
                <w:b/>
                <w:color w:val="000000"/>
                <w:sz w:val="22"/>
                <w:szCs w:val="22"/>
              </w:rPr>
              <w:t>(tpy</w:t>
            </w:r>
            <w:r w:rsidRPr="002D3122">
              <w:rPr>
                <w:b/>
                <w:color w:val="000000"/>
                <w:sz w:val="22"/>
                <w:szCs w:val="22"/>
              </w:rPr>
              <w:t>)</w:t>
            </w:r>
          </w:p>
        </w:tc>
      </w:tr>
      <w:tr w:rsidR="007C69F5" w:rsidRPr="004B4F67" w14:paraId="149AAA3C" w14:textId="77777777" w:rsidTr="00A81DAC">
        <w:trPr>
          <w:trHeight w:val="315"/>
          <w:jc w:val="center"/>
        </w:trPr>
        <w:tc>
          <w:tcPr>
            <w:tcW w:w="0" w:type="auto"/>
            <w:vAlign w:val="center"/>
          </w:tcPr>
          <w:p w14:paraId="11B9E292" w14:textId="5B78CF00" w:rsidR="007C69F5" w:rsidRPr="002D3122" w:rsidRDefault="007C69F5" w:rsidP="00AC1BCD">
            <w:pPr>
              <w:jc w:val="center"/>
              <w:rPr>
                <w:color w:val="000000"/>
                <w:sz w:val="22"/>
                <w:szCs w:val="22"/>
              </w:rPr>
            </w:pPr>
            <w:r w:rsidRPr="002412C0">
              <w:rPr>
                <w:bCs/>
                <w:iCs/>
                <w:szCs w:val="24"/>
              </w:rPr>
              <w:t>Recovery</w:t>
            </w:r>
            <w:r>
              <w:rPr>
                <w:bCs/>
                <w:iCs/>
                <w:szCs w:val="24"/>
              </w:rPr>
              <w:t xml:space="preserve"> </w:t>
            </w:r>
            <w:r w:rsidRPr="002412C0">
              <w:rPr>
                <w:bCs/>
                <w:iCs/>
                <w:szCs w:val="24"/>
              </w:rPr>
              <w:t>Boiler C</w:t>
            </w:r>
          </w:p>
        </w:tc>
        <w:tc>
          <w:tcPr>
            <w:tcW w:w="0" w:type="auto"/>
            <w:noWrap/>
            <w:vAlign w:val="center"/>
          </w:tcPr>
          <w:p w14:paraId="2335AC92" w14:textId="48D19287" w:rsidR="007C69F5" w:rsidRPr="002D3122" w:rsidRDefault="007C69F5" w:rsidP="00AC1BCD">
            <w:pPr>
              <w:jc w:val="center"/>
              <w:rPr>
                <w:color w:val="000000"/>
                <w:sz w:val="22"/>
                <w:szCs w:val="22"/>
              </w:rPr>
            </w:pPr>
            <w:r>
              <w:rPr>
                <w:color w:val="000000"/>
                <w:sz w:val="22"/>
                <w:szCs w:val="22"/>
              </w:rPr>
              <w:t>83.9</w:t>
            </w:r>
            <w:r w:rsidR="00A81DAC">
              <w:rPr>
                <w:color w:val="000000"/>
                <w:sz w:val="22"/>
                <w:szCs w:val="22"/>
              </w:rPr>
              <w:t>0</w:t>
            </w:r>
          </w:p>
        </w:tc>
        <w:tc>
          <w:tcPr>
            <w:tcW w:w="0" w:type="auto"/>
            <w:noWrap/>
            <w:vAlign w:val="center"/>
          </w:tcPr>
          <w:p w14:paraId="5D2A12FC" w14:textId="2AEF12BF" w:rsidR="007C69F5" w:rsidRPr="002D3122" w:rsidRDefault="007C69F5" w:rsidP="00AC1BCD">
            <w:pPr>
              <w:jc w:val="center"/>
              <w:rPr>
                <w:color w:val="000000"/>
                <w:sz w:val="22"/>
                <w:szCs w:val="22"/>
              </w:rPr>
            </w:pPr>
            <w:r>
              <w:rPr>
                <w:color w:val="000000"/>
                <w:sz w:val="22"/>
                <w:szCs w:val="22"/>
              </w:rPr>
              <w:t>124.3</w:t>
            </w:r>
            <w:r w:rsidR="00A81DAC">
              <w:rPr>
                <w:color w:val="000000"/>
                <w:sz w:val="22"/>
                <w:szCs w:val="22"/>
              </w:rPr>
              <w:t>1</w:t>
            </w:r>
          </w:p>
        </w:tc>
        <w:tc>
          <w:tcPr>
            <w:tcW w:w="0" w:type="auto"/>
            <w:noWrap/>
            <w:vAlign w:val="center"/>
          </w:tcPr>
          <w:p w14:paraId="3227455C" w14:textId="72F4A52A" w:rsidR="007C69F5" w:rsidRPr="002D3122" w:rsidRDefault="007C69F5" w:rsidP="00AC1BCD">
            <w:pPr>
              <w:jc w:val="center"/>
              <w:rPr>
                <w:color w:val="000000"/>
                <w:sz w:val="22"/>
                <w:szCs w:val="22"/>
              </w:rPr>
            </w:pPr>
            <w:r>
              <w:rPr>
                <w:color w:val="000000"/>
                <w:sz w:val="22"/>
                <w:szCs w:val="22"/>
              </w:rPr>
              <w:t>110.</w:t>
            </w:r>
            <w:r w:rsidR="00A81DAC">
              <w:rPr>
                <w:color w:val="000000"/>
                <w:sz w:val="22"/>
                <w:szCs w:val="22"/>
              </w:rPr>
              <w:t>88</w:t>
            </w:r>
          </w:p>
        </w:tc>
        <w:tc>
          <w:tcPr>
            <w:tcW w:w="0" w:type="auto"/>
            <w:noWrap/>
            <w:vAlign w:val="center"/>
          </w:tcPr>
          <w:p w14:paraId="279C9EE8" w14:textId="2E71296E" w:rsidR="007C69F5" w:rsidRPr="002D3122" w:rsidRDefault="007C69F5" w:rsidP="00AC1BCD">
            <w:pPr>
              <w:jc w:val="center"/>
              <w:rPr>
                <w:color w:val="000000"/>
                <w:sz w:val="22"/>
                <w:szCs w:val="22"/>
              </w:rPr>
            </w:pPr>
            <w:r>
              <w:rPr>
                <w:color w:val="000000"/>
                <w:sz w:val="22"/>
                <w:szCs w:val="22"/>
              </w:rPr>
              <w:t>89.6</w:t>
            </w:r>
            <w:r w:rsidR="00A81DAC">
              <w:rPr>
                <w:color w:val="000000"/>
                <w:sz w:val="22"/>
                <w:szCs w:val="22"/>
              </w:rPr>
              <w:t>2</w:t>
            </w:r>
          </w:p>
        </w:tc>
        <w:tc>
          <w:tcPr>
            <w:tcW w:w="0" w:type="auto"/>
            <w:noWrap/>
            <w:vAlign w:val="center"/>
          </w:tcPr>
          <w:p w14:paraId="3E8904DF" w14:textId="3B70704B" w:rsidR="007C69F5" w:rsidRPr="002D3122" w:rsidRDefault="007C69F5" w:rsidP="00AC1BCD">
            <w:pPr>
              <w:jc w:val="center"/>
              <w:rPr>
                <w:color w:val="000000"/>
                <w:sz w:val="22"/>
                <w:szCs w:val="22"/>
              </w:rPr>
            </w:pPr>
            <w:r>
              <w:rPr>
                <w:color w:val="000000"/>
                <w:sz w:val="22"/>
                <w:szCs w:val="22"/>
              </w:rPr>
              <w:t>496.</w:t>
            </w:r>
            <w:r w:rsidR="00A81DAC">
              <w:rPr>
                <w:color w:val="000000"/>
                <w:sz w:val="22"/>
                <w:szCs w:val="22"/>
              </w:rPr>
              <w:t>17</w:t>
            </w:r>
          </w:p>
        </w:tc>
        <w:tc>
          <w:tcPr>
            <w:tcW w:w="0" w:type="auto"/>
            <w:noWrap/>
            <w:vAlign w:val="center"/>
          </w:tcPr>
          <w:p w14:paraId="298CA9A4" w14:textId="511F6B71" w:rsidR="007C69F5" w:rsidRPr="002D3122" w:rsidRDefault="007C69F5" w:rsidP="00AC1BCD">
            <w:pPr>
              <w:jc w:val="center"/>
              <w:rPr>
                <w:color w:val="000000"/>
                <w:sz w:val="22"/>
                <w:szCs w:val="22"/>
              </w:rPr>
            </w:pPr>
            <w:r>
              <w:rPr>
                <w:color w:val="000000"/>
                <w:sz w:val="22"/>
                <w:szCs w:val="22"/>
              </w:rPr>
              <w:t>455.</w:t>
            </w:r>
            <w:r w:rsidR="00A81DAC">
              <w:rPr>
                <w:color w:val="000000"/>
                <w:sz w:val="22"/>
                <w:szCs w:val="22"/>
              </w:rPr>
              <w:t>58</w:t>
            </w:r>
          </w:p>
        </w:tc>
        <w:tc>
          <w:tcPr>
            <w:tcW w:w="0" w:type="auto"/>
            <w:noWrap/>
            <w:vAlign w:val="center"/>
          </w:tcPr>
          <w:p w14:paraId="1454CF20" w14:textId="5328EF56" w:rsidR="007C69F5" w:rsidRPr="002D3122" w:rsidRDefault="007C69F5" w:rsidP="00AC1BCD">
            <w:pPr>
              <w:jc w:val="center"/>
              <w:rPr>
                <w:color w:val="000000"/>
                <w:sz w:val="22"/>
                <w:szCs w:val="22"/>
              </w:rPr>
            </w:pPr>
            <w:r>
              <w:rPr>
                <w:color w:val="000000"/>
                <w:sz w:val="22"/>
                <w:szCs w:val="22"/>
              </w:rPr>
              <w:t>16.</w:t>
            </w:r>
            <w:r w:rsidR="00A81DAC">
              <w:rPr>
                <w:color w:val="000000"/>
                <w:sz w:val="22"/>
                <w:szCs w:val="22"/>
              </w:rPr>
              <w:t>19</w:t>
            </w:r>
          </w:p>
        </w:tc>
      </w:tr>
      <w:tr w:rsidR="007C69F5" w:rsidRPr="004B4F67" w14:paraId="68971999" w14:textId="77777777" w:rsidTr="00A81DAC">
        <w:trPr>
          <w:trHeight w:val="315"/>
          <w:jc w:val="center"/>
        </w:trPr>
        <w:tc>
          <w:tcPr>
            <w:tcW w:w="0" w:type="auto"/>
            <w:vAlign w:val="center"/>
          </w:tcPr>
          <w:p w14:paraId="0C818EB3" w14:textId="44AA124F" w:rsidR="007C69F5" w:rsidRPr="002D3122" w:rsidRDefault="007C69F5" w:rsidP="00AC1BCD">
            <w:pPr>
              <w:jc w:val="center"/>
              <w:rPr>
                <w:color w:val="000000"/>
                <w:sz w:val="22"/>
                <w:szCs w:val="22"/>
              </w:rPr>
            </w:pPr>
            <w:r w:rsidRPr="002412C0">
              <w:rPr>
                <w:bCs/>
                <w:iCs/>
                <w:szCs w:val="24"/>
              </w:rPr>
              <w:t>Cogen Boiler #6</w:t>
            </w:r>
          </w:p>
        </w:tc>
        <w:tc>
          <w:tcPr>
            <w:tcW w:w="0" w:type="auto"/>
            <w:noWrap/>
            <w:vAlign w:val="center"/>
          </w:tcPr>
          <w:p w14:paraId="614C26C4" w14:textId="1519AF82" w:rsidR="007C69F5" w:rsidRPr="009B2F2D" w:rsidRDefault="007C69F5" w:rsidP="00AC1BCD">
            <w:pPr>
              <w:jc w:val="center"/>
              <w:rPr>
                <w:color w:val="000000"/>
                <w:sz w:val="22"/>
                <w:szCs w:val="22"/>
              </w:rPr>
            </w:pPr>
            <w:r w:rsidRPr="009B2F2D">
              <w:rPr>
                <w:color w:val="000000"/>
                <w:sz w:val="22"/>
                <w:szCs w:val="22"/>
              </w:rPr>
              <w:t>7.</w:t>
            </w:r>
            <w:r w:rsidR="00A81DAC">
              <w:rPr>
                <w:color w:val="000000"/>
                <w:sz w:val="22"/>
                <w:szCs w:val="22"/>
              </w:rPr>
              <w:t>52</w:t>
            </w:r>
          </w:p>
        </w:tc>
        <w:tc>
          <w:tcPr>
            <w:tcW w:w="0" w:type="auto"/>
            <w:noWrap/>
            <w:vAlign w:val="center"/>
          </w:tcPr>
          <w:p w14:paraId="417820D1" w14:textId="28DBEFDF" w:rsidR="007C69F5" w:rsidRPr="009B2F2D" w:rsidRDefault="007C69F5" w:rsidP="00AC1BCD">
            <w:pPr>
              <w:jc w:val="center"/>
              <w:rPr>
                <w:color w:val="000000"/>
                <w:sz w:val="22"/>
                <w:szCs w:val="22"/>
              </w:rPr>
            </w:pPr>
            <w:r w:rsidRPr="009B2F2D">
              <w:rPr>
                <w:color w:val="000000"/>
                <w:sz w:val="22"/>
                <w:szCs w:val="22"/>
              </w:rPr>
              <w:t>30.</w:t>
            </w:r>
            <w:r w:rsidR="00A81DAC">
              <w:rPr>
                <w:color w:val="000000"/>
                <w:sz w:val="22"/>
                <w:szCs w:val="22"/>
              </w:rPr>
              <w:t>27</w:t>
            </w:r>
          </w:p>
        </w:tc>
        <w:tc>
          <w:tcPr>
            <w:tcW w:w="0" w:type="auto"/>
            <w:noWrap/>
            <w:vAlign w:val="center"/>
          </w:tcPr>
          <w:p w14:paraId="388FD62E" w14:textId="188DF6CF" w:rsidR="007C69F5" w:rsidRPr="009B2F2D" w:rsidRDefault="007C69F5" w:rsidP="00AC1BCD">
            <w:pPr>
              <w:jc w:val="center"/>
              <w:rPr>
                <w:color w:val="000000"/>
                <w:sz w:val="22"/>
                <w:szCs w:val="22"/>
              </w:rPr>
            </w:pPr>
            <w:r w:rsidRPr="009B2F2D">
              <w:rPr>
                <w:color w:val="000000"/>
                <w:sz w:val="22"/>
                <w:szCs w:val="22"/>
              </w:rPr>
              <w:t>29.</w:t>
            </w:r>
            <w:r w:rsidR="00A81DAC">
              <w:rPr>
                <w:color w:val="000000"/>
                <w:sz w:val="22"/>
                <w:szCs w:val="22"/>
              </w:rPr>
              <w:t>4</w:t>
            </w:r>
            <w:r w:rsidRPr="009B2F2D">
              <w:rPr>
                <w:color w:val="000000"/>
                <w:sz w:val="22"/>
                <w:szCs w:val="22"/>
              </w:rPr>
              <w:t>5</w:t>
            </w:r>
          </w:p>
        </w:tc>
        <w:tc>
          <w:tcPr>
            <w:tcW w:w="0" w:type="auto"/>
            <w:noWrap/>
            <w:vAlign w:val="center"/>
          </w:tcPr>
          <w:p w14:paraId="01187DE7" w14:textId="05CDD971" w:rsidR="007C69F5" w:rsidRPr="009B2F2D" w:rsidRDefault="007C69F5" w:rsidP="00AC1BCD">
            <w:pPr>
              <w:jc w:val="center"/>
              <w:rPr>
                <w:color w:val="000000"/>
                <w:sz w:val="22"/>
                <w:szCs w:val="22"/>
              </w:rPr>
            </w:pPr>
            <w:r w:rsidRPr="009B2F2D">
              <w:rPr>
                <w:color w:val="000000"/>
                <w:sz w:val="22"/>
                <w:szCs w:val="22"/>
              </w:rPr>
              <w:t>429.</w:t>
            </w:r>
            <w:r w:rsidR="00A81DAC">
              <w:rPr>
                <w:color w:val="000000"/>
                <w:sz w:val="22"/>
                <w:szCs w:val="22"/>
              </w:rPr>
              <w:t>33</w:t>
            </w:r>
          </w:p>
        </w:tc>
        <w:tc>
          <w:tcPr>
            <w:tcW w:w="0" w:type="auto"/>
            <w:noWrap/>
            <w:vAlign w:val="center"/>
          </w:tcPr>
          <w:p w14:paraId="23A2BC92" w14:textId="451B7BF3" w:rsidR="007C69F5" w:rsidRPr="009B2F2D" w:rsidRDefault="007C69F5" w:rsidP="00AC1BCD">
            <w:pPr>
              <w:jc w:val="center"/>
              <w:rPr>
                <w:color w:val="000000"/>
                <w:sz w:val="22"/>
                <w:szCs w:val="22"/>
              </w:rPr>
            </w:pPr>
            <w:r w:rsidRPr="009B2F2D">
              <w:rPr>
                <w:color w:val="000000"/>
                <w:sz w:val="22"/>
                <w:szCs w:val="22"/>
              </w:rPr>
              <w:t>590.4</w:t>
            </w:r>
            <w:r w:rsidR="00A81DAC">
              <w:rPr>
                <w:color w:val="000000"/>
                <w:sz w:val="22"/>
                <w:szCs w:val="22"/>
              </w:rPr>
              <w:t>2</w:t>
            </w:r>
          </w:p>
        </w:tc>
        <w:tc>
          <w:tcPr>
            <w:tcW w:w="0" w:type="auto"/>
            <w:noWrap/>
            <w:vAlign w:val="center"/>
          </w:tcPr>
          <w:p w14:paraId="3528E29D" w14:textId="3FF38533" w:rsidR="007C69F5" w:rsidRPr="009B2F2D" w:rsidRDefault="007C69F5" w:rsidP="00AC1BCD">
            <w:pPr>
              <w:jc w:val="center"/>
              <w:rPr>
                <w:color w:val="000000"/>
                <w:sz w:val="22"/>
                <w:szCs w:val="22"/>
              </w:rPr>
            </w:pPr>
            <w:r w:rsidRPr="009B2F2D">
              <w:rPr>
                <w:color w:val="000000"/>
                <w:sz w:val="22"/>
                <w:szCs w:val="22"/>
              </w:rPr>
              <w:t>17.</w:t>
            </w:r>
            <w:r w:rsidR="00A81DAC">
              <w:rPr>
                <w:color w:val="000000"/>
                <w:sz w:val="22"/>
                <w:szCs w:val="22"/>
              </w:rPr>
              <w:t>85</w:t>
            </w:r>
          </w:p>
        </w:tc>
        <w:tc>
          <w:tcPr>
            <w:tcW w:w="0" w:type="auto"/>
            <w:noWrap/>
            <w:vAlign w:val="center"/>
          </w:tcPr>
          <w:p w14:paraId="7C8A8181" w14:textId="7C49D7AE" w:rsidR="007C69F5" w:rsidRPr="009B2F2D" w:rsidRDefault="007C69F5" w:rsidP="00AC1BCD">
            <w:pPr>
              <w:jc w:val="center"/>
              <w:rPr>
                <w:color w:val="000000"/>
                <w:sz w:val="22"/>
                <w:szCs w:val="22"/>
              </w:rPr>
            </w:pPr>
            <w:r w:rsidRPr="009B2F2D">
              <w:rPr>
                <w:color w:val="000000"/>
                <w:sz w:val="22"/>
                <w:szCs w:val="22"/>
              </w:rPr>
              <w:t>0.8</w:t>
            </w:r>
            <w:r w:rsidR="00A81DAC">
              <w:rPr>
                <w:color w:val="000000"/>
                <w:sz w:val="22"/>
                <w:szCs w:val="22"/>
              </w:rPr>
              <w:t>1</w:t>
            </w:r>
          </w:p>
        </w:tc>
      </w:tr>
      <w:tr w:rsidR="007C69F5" w:rsidRPr="004B4F67" w14:paraId="2ADDEE74" w14:textId="77777777" w:rsidTr="00A81DAC">
        <w:trPr>
          <w:trHeight w:val="315"/>
          <w:jc w:val="center"/>
        </w:trPr>
        <w:tc>
          <w:tcPr>
            <w:tcW w:w="0" w:type="auto"/>
            <w:vAlign w:val="center"/>
          </w:tcPr>
          <w:p w14:paraId="07BE0230" w14:textId="4B8D3C56" w:rsidR="007C69F5" w:rsidRPr="002D3122" w:rsidRDefault="007C69F5" w:rsidP="00AC1BCD">
            <w:pPr>
              <w:jc w:val="center"/>
              <w:rPr>
                <w:color w:val="000000"/>
                <w:sz w:val="22"/>
                <w:szCs w:val="22"/>
              </w:rPr>
            </w:pPr>
            <w:r w:rsidRPr="002412C0">
              <w:rPr>
                <w:bCs/>
                <w:iCs/>
                <w:szCs w:val="24"/>
              </w:rPr>
              <w:t>Cogen Boiler #</w:t>
            </w:r>
            <w:r>
              <w:rPr>
                <w:bCs/>
                <w:iCs/>
                <w:szCs w:val="24"/>
              </w:rPr>
              <w:t>7</w:t>
            </w:r>
          </w:p>
        </w:tc>
        <w:tc>
          <w:tcPr>
            <w:tcW w:w="0" w:type="auto"/>
            <w:noWrap/>
            <w:vAlign w:val="center"/>
          </w:tcPr>
          <w:p w14:paraId="1F66ABBA" w14:textId="37E42C77" w:rsidR="007C69F5" w:rsidRPr="009B2F2D" w:rsidRDefault="007C69F5" w:rsidP="00AC1BCD">
            <w:pPr>
              <w:jc w:val="center"/>
              <w:rPr>
                <w:color w:val="000000"/>
                <w:sz w:val="22"/>
                <w:szCs w:val="22"/>
              </w:rPr>
            </w:pPr>
            <w:r w:rsidRPr="009B2F2D">
              <w:rPr>
                <w:color w:val="000000"/>
                <w:sz w:val="22"/>
                <w:szCs w:val="22"/>
              </w:rPr>
              <w:t>6.2</w:t>
            </w:r>
            <w:r w:rsidR="00A81DAC">
              <w:rPr>
                <w:color w:val="000000"/>
                <w:sz w:val="22"/>
                <w:szCs w:val="22"/>
              </w:rPr>
              <w:t>1</w:t>
            </w:r>
          </w:p>
        </w:tc>
        <w:tc>
          <w:tcPr>
            <w:tcW w:w="0" w:type="auto"/>
            <w:noWrap/>
            <w:vAlign w:val="center"/>
          </w:tcPr>
          <w:p w14:paraId="40D6D291" w14:textId="478AAD9E" w:rsidR="007C69F5" w:rsidRPr="009B2F2D" w:rsidRDefault="007C69F5" w:rsidP="00AC1BCD">
            <w:pPr>
              <w:jc w:val="center"/>
              <w:rPr>
                <w:color w:val="000000"/>
                <w:sz w:val="22"/>
                <w:szCs w:val="22"/>
              </w:rPr>
            </w:pPr>
            <w:r w:rsidRPr="009B2F2D">
              <w:rPr>
                <w:color w:val="000000"/>
                <w:sz w:val="22"/>
                <w:szCs w:val="22"/>
              </w:rPr>
              <w:t>25.0</w:t>
            </w:r>
            <w:r w:rsidR="00A81DAC">
              <w:rPr>
                <w:color w:val="000000"/>
                <w:sz w:val="22"/>
                <w:szCs w:val="22"/>
              </w:rPr>
              <w:t>0</w:t>
            </w:r>
          </w:p>
        </w:tc>
        <w:tc>
          <w:tcPr>
            <w:tcW w:w="0" w:type="auto"/>
            <w:noWrap/>
            <w:vAlign w:val="center"/>
          </w:tcPr>
          <w:p w14:paraId="0C58CFE8" w14:textId="2E335ED1" w:rsidR="007C69F5" w:rsidRPr="009B2F2D" w:rsidRDefault="007C69F5" w:rsidP="00AC1BCD">
            <w:pPr>
              <w:jc w:val="center"/>
              <w:rPr>
                <w:color w:val="000000"/>
                <w:sz w:val="22"/>
                <w:szCs w:val="22"/>
              </w:rPr>
            </w:pPr>
            <w:r w:rsidRPr="009B2F2D">
              <w:rPr>
                <w:color w:val="000000"/>
                <w:sz w:val="22"/>
                <w:szCs w:val="22"/>
              </w:rPr>
              <w:t>24.3</w:t>
            </w:r>
            <w:r w:rsidR="00A81DAC">
              <w:rPr>
                <w:color w:val="000000"/>
                <w:sz w:val="22"/>
                <w:szCs w:val="22"/>
              </w:rPr>
              <w:t>3</w:t>
            </w:r>
          </w:p>
        </w:tc>
        <w:tc>
          <w:tcPr>
            <w:tcW w:w="0" w:type="auto"/>
            <w:noWrap/>
            <w:vAlign w:val="center"/>
          </w:tcPr>
          <w:p w14:paraId="462CB8D8" w14:textId="4FFAD0F0" w:rsidR="007C69F5" w:rsidRPr="009B2F2D" w:rsidRDefault="007C69F5" w:rsidP="00AC1BCD">
            <w:pPr>
              <w:jc w:val="center"/>
              <w:rPr>
                <w:color w:val="000000"/>
                <w:sz w:val="22"/>
                <w:szCs w:val="22"/>
              </w:rPr>
            </w:pPr>
            <w:r w:rsidRPr="009B2F2D">
              <w:rPr>
                <w:color w:val="000000"/>
                <w:sz w:val="22"/>
                <w:szCs w:val="22"/>
              </w:rPr>
              <w:t>355.</w:t>
            </w:r>
            <w:r w:rsidR="00A81DAC">
              <w:rPr>
                <w:color w:val="000000"/>
                <w:sz w:val="22"/>
                <w:szCs w:val="22"/>
              </w:rPr>
              <w:t>37</w:t>
            </w:r>
          </w:p>
        </w:tc>
        <w:tc>
          <w:tcPr>
            <w:tcW w:w="0" w:type="auto"/>
            <w:noWrap/>
            <w:vAlign w:val="center"/>
          </w:tcPr>
          <w:p w14:paraId="3CBC0DD6" w14:textId="5EDDB4A1" w:rsidR="007C69F5" w:rsidRPr="009B2F2D" w:rsidRDefault="007C69F5" w:rsidP="00AC1BCD">
            <w:pPr>
              <w:jc w:val="center"/>
              <w:rPr>
                <w:color w:val="000000"/>
                <w:sz w:val="22"/>
                <w:szCs w:val="22"/>
              </w:rPr>
            </w:pPr>
            <w:r w:rsidRPr="009B2F2D">
              <w:rPr>
                <w:color w:val="000000"/>
                <w:sz w:val="22"/>
                <w:szCs w:val="22"/>
              </w:rPr>
              <w:t>48</w:t>
            </w:r>
            <w:r w:rsidR="00A81DAC">
              <w:rPr>
                <w:color w:val="000000"/>
                <w:sz w:val="22"/>
                <w:szCs w:val="22"/>
              </w:rPr>
              <w:t>6</w:t>
            </w:r>
            <w:r w:rsidR="009B2F2D" w:rsidRPr="009B2F2D">
              <w:rPr>
                <w:color w:val="000000"/>
                <w:sz w:val="22"/>
                <w:szCs w:val="22"/>
              </w:rPr>
              <w:t>.</w:t>
            </w:r>
            <w:r w:rsidR="00A81DAC">
              <w:rPr>
                <w:color w:val="000000"/>
                <w:sz w:val="22"/>
                <w:szCs w:val="22"/>
              </w:rPr>
              <w:t>96</w:t>
            </w:r>
          </w:p>
        </w:tc>
        <w:tc>
          <w:tcPr>
            <w:tcW w:w="0" w:type="auto"/>
            <w:noWrap/>
            <w:vAlign w:val="center"/>
          </w:tcPr>
          <w:p w14:paraId="156B9CA4" w14:textId="1B00AA4B" w:rsidR="007C69F5" w:rsidRPr="009B2F2D" w:rsidRDefault="007C69F5" w:rsidP="00AC1BCD">
            <w:pPr>
              <w:jc w:val="center"/>
              <w:rPr>
                <w:color w:val="000000"/>
                <w:sz w:val="22"/>
                <w:szCs w:val="22"/>
              </w:rPr>
            </w:pPr>
            <w:r w:rsidRPr="009B2F2D">
              <w:rPr>
                <w:color w:val="000000"/>
                <w:sz w:val="22"/>
                <w:szCs w:val="22"/>
              </w:rPr>
              <w:t>14.</w:t>
            </w:r>
            <w:r w:rsidR="00A81DAC">
              <w:rPr>
                <w:color w:val="000000"/>
                <w:sz w:val="22"/>
                <w:szCs w:val="22"/>
              </w:rPr>
              <w:t>47</w:t>
            </w:r>
          </w:p>
        </w:tc>
        <w:tc>
          <w:tcPr>
            <w:tcW w:w="0" w:type="auto"/>
            <w:noWrap/>
            <w:vAlign w:val="center"/>
          </w:tcPr>
          <w:p w14:paraId="5C650782" w14:textId="2B39764D" w:rsidR="007C69F5" w:rsidRPr="009B2F2D" w:rsidRDefault="007C69F5" w:rsidP="00AC1BCD">
            <w:pPr>
              <w:jc w:val="center"/>
              <w:rPr>
                <w:color w:val="000000"/>
                <w:sz w:val="22"/>
                <w:szCs w:val="22"/>
              </w:rPr>
            </w:pPr>
            <w:r w:rsidRPr="009B2F2D">
              <w:rPr>
                <w:color w:val="000000"/>
                <w:sz w:val="22"/>
                <w:szCs w:val="22"/>
              </w:rPr>
              <w:t>0.</w:t>
            </w:r>
            <w:r w:rsidR="00A81DAC">
              <w:rPr>
                <w:color w:val="000000"/>
                <w:sz w:val="22"/>
                <w:szCs w:val="22"/>
              </w:rPr>
              <w:t>69</w:t>
            </w:r>
          </w:p>
        </w:tc>
      </w:tr>
      <w:tr w:rsidR="009B2F2D" w:rsidRPr="004B4F67" w14:paraId="2B01C6BE" w14:textId="77777777" w:rsidTr="00A81DAC">
        <w:trPr>
          <w:trHeight w:val="315"/>
          <w:jc w:val="center"/>
        </w:trPr>
        <w:tc>
          <w:tcPr>
            <w:tcW w:w="0" w:type="auto"/>
            <w:tcBorders>
              <w:top w:val="single" w:sz="12" w:space="0" w:color="auto"/>
              <w:bottom w:val="double" w:sz="4" w:space="0" w:color="auto"/>
            </w:tcBorders>
            <w:vAlign w:val="center"/>
            <w:hideMark/>
          </w:tcPr>
          <w:p w14:paraId="1F11A505" w14:textId="77777777" w:rsidR="009B2F2D" w:rsidRPr="002D3122" w:rsidRDefault="009B2F2D" w:rsidP="00AC1BCD">
            <w:pPr>
              <w:jc w:val="center"/>
              <w:rPr>
                <w:b/>
                <w:color w:val="000000"/>
                <w:sz w:val="22"/>
                <w:szCs w:val="22"/>
              </w:rPr>
            </w:pPr>
            <w:r w:rsidRPr="002D3122">
              <w:rPr>
                <w:b/>
                <w:color w:val="000000"/>
                <w:sz w:val="22"/>
                <w:szCs w:val="22"/>
              </w:rPr>
              <w:t>Total</w:t>
            </w:r>
          </w:p>
        </w:tc>
        <w:tc>
          <w:tcPr>
            <w:tcW w:w="0" w:type="auto"/>
            <w:tcBorders>
              <w:top w:val="single" w:sz="12" w:space="0" w:color="auto"/>
              <w:bottom w:val="double" w:sz="4" w:space="0" w:color="auto"/>
            </w:tcBorders>
            <w:noWrap/>
            <w:vAlign w:val="center"/>
          </w:tcPr>
          <w:p w14:paraId="02F4723C" w14:textId="567C2B55" w:rsidR="009B2F2D" w:rsidRPr="009B2F2D" w:rsidRDefault="009B2F2D" w:rsidP="00AC1BCD">
            <w:pPr>
              <w:jc w:val="center"/>
              <w:rPr>
                <w:b/>
                <w:color w:val="000000"/>
                <w:sz w:val="22"/>
                <w:szCs w:val="22"/>
              </w:rPr>
            </w:pPr>
            <w:r w:rsidRPr="009B2F2D">
              <w:rPr>
                <w:sz w:val="22"/>
                <w:szCs w:val="22"/>
              </w:rPr>
              <w:t>97.6</w:t>
            </w:r>
            <w:r w:rsidR="00A81DAC">
              <w:rPr>
                <w:sz w:val="22"/>
                <w:szCs w:val="22"/>
              </w:rPr>
              <w:t>3</w:t>
            </w:r>
          </w:p>
        </w:tc>
        <w:tc>
          <w:tcPr>
            <w:tcW w:w="0" w:type="auto"/>
            <w:tcBorders>
              <w:top w:val="single" w:sz="12" w:space="0" w:color="auto"/>
              <w:bottom w:val="double" w:sz="4" w:space="0" w:color="auto"/>
            </w:tcBorders>
            <w:noWrap/>
            <w:vAlign w:val="center"/>
          </w:tcPr>
          <w:p w14:paraId="76CF0ADC" w14:textId="3B0707E9" w:rsidR="009B2F2D" w:rsidRPr="009B2F2D" w:rsidRDefault="009B2F2D" w:rsidP="00AC1BCD">
            <w:pPr>
              <w:jc w:val="center"/>
              <w:rPr>
                <w:b/>
                <w:color w:val="000000"/>
                <w:sz w:val="22"/>
                <w:szCs w:val="22"/>
              </w:rPr>
            </w:pPr>
            <w:r w:rsidRPr="009B2F2D">
              <w:rPr>
                <w:sz w:val="22"/>
                <w:szCs w:val="22"/>
              </w:rPr>
              <w:t>179.</w:t>
            </w:r>
            <w:r w:rsidR="00A81DAC">
              <w:rPr>
                <w:sz w:val="22"/>
                <w:szCs w:val="22"/>
              </w:rPr>
              <w:t>58</w:t>
            </w:r>
          </w:p>
        </w:tc>
        <w:tc>
          <w:tcPr>
            <w:tcW w:w="0" w:type="auto"/>
            <w:tcBorders>
              <w:top w:val="single" w:sz="12" w:space="0" w:color="auto"/>
              <w:bottom w:val="double" w:sz="4" w:space="0" w:color="auto"/>
            </w:tcBorders>
            <w:noWrap/>
            <w:vAlign w:val="center"/>
          </w:tcPr>
          <w:p w14:paraId="7FE09A6C" w14:textId="4B79976C" w:rsidR="009B2F2D" w:rsidRPr="009B2F2D" w:rsidRDefault="009B2F2D" w:rsidP="00AC1BCD">
            <w:pPr>
              <w:jc w:val="center"/>
              <w:rPr>
                <w:b/>
                <w:color w:val="000000"/>
                <w:sz w:val="22"/>
                <w:szCs w:val="22"/>
              </w:rPr>
            </w:pPr>
            <w:r w:rsidRPr="009B2F2D">
              <w:rPr>
                <w:sz w:val="22"/>
                <w:szCs w:val="22"/>
              </w:rPr>
              <w:t>164.</w:t>
            </w:r>
            <w:r w:rsidR="00A81DAC">
              <w:rPr>
                <w:sz w:val="22"/>
                <w:szCs w:val="22"/>
              </w:rPr>
              <w:t>66</w:t>
            </w:r>
          </w:p>
        </w:tc>
        <w:tc>
          <w:tcPr>
            <w:tcW w:w="0" w:type="auto"/>
            <w:tcBorders>
              <w:top w:val="single" w:sz="12" w:space="0" w:color="auto"/>
              <w:bottom w:val="double" w:sz="4" w:space="0" w:color="auto"/>
            </w:tcBorders>
            <w:noWrap/>
            <w:vAlign w:val="center"/>
          </w:tcPr>
          <w:p w14:paraId="669125C8" w14:textId="12B2F5E9" w:rsidR="009B2F2D" w:rsidRPr="009B2F2D" w:rsidRDefault="009B2F2D" w:rsidP="00AC1BCD">
            <w:pPr>
              <w:jc w:val="center"/>
              <w:rPr>
                <w:b/>
                <w:color w:val="000000"/>
                <w:sz w:val="22"/>
                <w:szCs w:val="22"/>
              </w:rPr>
            </w:pPr>
            <w:r w:rsidRPr="009B2F2D">
              <w:rPr>
                <w:sz w:val="22"/>
                <w:szCs w:val="22"/>
              </w:rPr>
              <w:t>874.3</w:t>
            </w:r>
            <w:r w:rsidR="00A81DAC">
              <w:rPr>
                <w:sz w:val="22"/>
                <w:szCs w:val="22"/>
              </w:rPr>
              <w:t>2</w:t>
            </w:r>
          </w:p>
        </w:tc>
        <w:tc>
          <w:tcPr>
            <w:tcW w:w="0" w:type="auto"/>
            <w:tcBorders>
              <w:top w:val="single" w:sz="12" w:space="0" w:color="auto"/>
              <w:bottom w:val="double" w:sz="4" w:space="0" w:color="auto"/>
            </w:tcBorders>
            <w:noWrap/>
            <w:vAlign w:val="center"/>
          </w:tcPr>
          <w:p w14:paraId="69634FEE" w14:textId="6676184D" w:rsidR="009B2F2D" w:rsidRPr="009B2F2D" w:rsidRDefault="009B2F2D" w:rsidP="00AC1BCD">
            <w:pPr>
              <w:jc w:val="center"/>
              <w:rPr>
                <w:sz w:val="22"/>
                <w:szCs w:val="22"/>
              </w:rPr>
            </w:pPr>
            <w:r w:rsidRPr="009B2F2D">
              <w:rPr>
                <w:sz w:val="22"/>
                <w:szCs w:val="22"/>
              </w:rPr>
              <w:t>1573.</w:t>
            </w:r>
            <w:r w:rsidR="00A81DAC">
              <w:rPr>
                <w:sz w:val="22"/>
                <w:szCs w:val="22"/>
              </w:rPr>
              <w:t>55</w:t>
            </w:r>
          </w:p>
        </w:tc>
        <w:tc>
          <w:tcPr>
            <w:tcW w:w="0" w:type="auto"/>
            <w:tcBorders>
              <w:top w:val="single" w:sz="12" w:space="0" w:color="auto"/>
              <w:bottom w:val="double" w:sz="4" w:space="0" w:color="auto"/>
            </w:tcBorders>
            <w:noWrap/>
            <w:vAlign w:val="center"/>
          </w:tcPr>
          <w:p w14:paraId="21FE5B58" w14:textId="275B233D" w:rsidR="009B2F2D" w:rsidRPr="009B2F2D" w:rsidRDefault="009B2F2D" w:rsidP="00AC1BCD">
            <w:pPr>
              <w:jc w:val="center"/>
              <w:rPr>
                <w:b/>
                <w:color w:val="000000"/>
                <w:sz w:val="22"/>
                <w:szCs w:val="22"/>
              </w:rPr>
            </w:pPr>
            <w:r w:rsidRPr="009B2F2D">
              <w:rPr>
                <w:sz w:val="22"/>
                <w:szCs w:val="22"/>
              </w:rPr>
              <w:t>48</w:t>
            </w:r>
            <w:r w:rsidR="00A81DAC">
              <w:rPr>
                <w:sz w:val="22"/>
                <w:szCs w:val="22"/>
              </w:rPr>
              <w:t>7.90</w:t>
            </w:r>
          </w:p>
        </w:tc>
        <w:tc>
          <w:tcPr>
            <w:tcW w:w="0" w:type="auto"/>
            <w:tcBorders>
              <w:top w:val="single" w:sz="12" w:space="0" w:color="auto"/>
              <w:bottom w:val="double" w:sz="4" w:space="0" w:color="auto"/>
            </w:tcBorders>
            <w:noWrap/>
            <w:vAlign w:val="center"/>
          </w:tcPr>
          <w:p w14:paraId="3602F871" w14:textId="5324BCA6" w:rsidR="009B2F2D" w:rsidRPr="009B2F2D" w:rsidRDefault="009B2F2D" w:rsidP="00AC1BCD">
            <w:pPr>
              <w:jc w:val="center"/>
              <w:rPr>
                <w:b/>
                <w:color w:val="000000"/>
                <w:sz w:val="22"/>
                <w:szCs w:val="22"/>
              </w:rPr>
            </w:pPr>
            <w:r w:rsidRPr="009B2F2D">
              <w:rPr>
                <w:sz w:val="22"/>
                <w:szCs w:val="22"/>
              </w:rPr>
              <w:t>17.</w:t>
            </w:r>
            <w:r w:rsidR="00A81DAC">
              <w:rPr>
                <w:sz w:val="22"/>
                <w:szCs w:val="22"/>
              </w:rPr>
              <w:t>69</w:t>
            </w:r>
          </w:p>
        </w:tc>
      </w:tr>
    </w:tbl>
    <w:p w14:paraId="7E3229A2" w14:textId="77777777" w:rsidR="00A8166B" w:rsidRDefault="00A8166B" w:rsidP="00AC1BCD">
      <w:pPr>
        <w:ind w:left="1080"/>
        <w:rPr>
          <w:bCs/>
          <w:szCs w:val="24"/>
        </w:rPr>
      </w:pPr>
    </w:p>
    <w:p w14:paraId="6574180C" w14:textId="77777777" w:rsidR="00A8166B" w:rsidRPr="00C06FA3" w:rsidRDefault="00A8166B" w:rsidP="00AC1BCD">
      <w:pPr>
        <w:pStyle w:val="ListParagraph"/>
        <w:numPr>
          <w:ilvl w:val="0"/>
          <w:numId w:val="18"/>
        </w:numPr>
        <w:rPr>
          <w:bCs/>
        </w:rPr>
      </w:pPr>
      <w:r w:rsidRPr="00C06FA3">
        <w:rPr>
          <w:bCs/>
        </w:rPr>
        <w:t>Projected Actual Emissions</w:t>
      </w:r>
    </w:p>
    <w:p w14:paraId="31CB694A" w14:textId="77777777" w:rsidR="00A8166B" w:rsidRDefault="00A8166B" w:rsidP="00AC1BCD">
      <w:pPr>
        <w:ind w:left="720"/>
        <w:rPr>
          <w:bCs/>
          <w:szCs w:val="24"/>
        </w:rPr>
      </w:pPr>
    </w:p>
    <w:p w14:paraId="6393090F" w14:textId="77777777" w:rsidR="00A8166B" w:rsidRDefault="00A8166B" w:rsidP="00AC1BCD">
      <w:pPr>
        <w:ind w:left="1080"/>
        <w:rPr>
          <w:bCs/>
          <w:szCs w:val="24"/>
        </w:rPr>
      </w:pPr>
      <w:r>
        <w:rPr>
          <w:bCs/>
          <w:szCs w:val="24"/>
        </w:rPr>
        <w:t>Projected actual emissions (PAE) are the maximum actual annual emissions anticipated to occur in any one of the five years (12-month periods) following the date existing units resume regular operation after the project or any one 12-month period in the ten years following if the project involves increasing the unit’s design capacity or its potential to emit of a regulated pollutant.</w:t>
      </w:r>
    </w:p>
    <w:p w14:paraId="1ACF61BD" w14:textId="77777777" w:rsidR="00A8166B" w:rsidRDefault="00A8166B" w:rsidP="00AC1BCD">
      <w:pPr>
        <w:ind w:left="1080"/>
        <w:rPr>
          <w:bCs/>
          <w:szCs w:val="24"/>
        </w:rPr>
      </w:pPr>
    </w:p>
    <w:p w14:paraId="7E28532D" w14:textId="77777777" w:rsidR="00DB5E64" w:rsidRDefault="00DB5E64">
      <w:pPr>
        <w:jc w:val="left"/>
        <w:rPr>
          <w:bCs/>
          <w:iCs/>
          <w:szCs w:val="24"/>
        </w:rPr>
      </w:pPr>
      <w:r>
        <w:rPr>
          <w:bCs/>
          <w:iCs/>
        </w:rPr>
        <w:br w:type="page"/>
      </w:r>
    </w:p>
    <w:p w14:paraId="20F6354A" w14:textId="08FA1C9C" w:rsidR="00AA1657" w:rsidRPr="00D77586" w:rsidRDefault="00D77586" w:rsidP="00AC1BCD">
      <w:pPr>
        <w:pStyle w:val="ListParagraph"/>
        <w:numPr>
          <w:ilvl w:val="0"/>
          <w:numId w:val="26"/>
        </w:numPr>
        <w:rPr>
          <w:bCs/>
          <w:iCs/>
        </w:rPr>
      </w:pPr>
      <w:r w:rsidRPr="00D77586">
        <w:rPr>
          <w:bCs/>
          <w:iCs/>
        </w:rPr>
        <w:lastRenderedPageBreak/>
        <w:t>Cogen Boilers #6 and #7</w:t>
      </w:r>
    </w:p>
    <w:p w14:paraId="20670CA2" w14:textId="77777777" w:rsidR="00AA1657" w:rsidRPr="00D77586" w:rsidRDefault="00AA1657" w:rsidP="00AC1BCD">
      <w:pPr>
        <w:pStyle w:val="ListParagraph"/>
        <w:ind w:left="1440"/>
        <w:rPr>
          <w:bCs/>
          <w:iCs/>
        </w:rPr>
      </w:pPr>
    </w:p>
    <w:p w14:paraId="72706C3F" w14:textId="2591F8CA" w:rsidR="00AA1657" w:rsidRDefault="00D77586" w:rsidP="00AC1BCD">
      <w:pPr>
        <w:pStyle w:val="ListParagraph"/>
        <w:ind w:left="1440"/>
      </w:pPr>
      <w:r w:rsidRPr="00D77586">
        <w:rPr>
          <w:bCs/>
          <w:iCs/>
        </w:rPr>
        <w:t>Cogen Boilers #6 and #7 are</w:t>
      </w:r>
      <w:r w:rsidR="00AA1657">
        <w:t xml:space="preserve"> </w:t>
      </w:r>
      <w:r>
        <w:rPr>
          <w:bCs/>
        </w:rPr>
        <w:t>considered physically modified units as well as</w:t>
      </w:r>
      <w:r>
        <w:t xml:space="preserve"> having </w:t>
      </w:r>
      <w:r w:rsidR="00AA1657">
        <w:t>the potential for the project to result in increased usage of this equipment</w:t>
      </w:r>
      <w:r>
        <w:t xml:space="preserve"> due to the increased steam demand to support the nat</w:t>
      </w:r>
      <w:r w:rsidRPr="00D77586">
        <w:t xml:space="preserve">ural gas pressure </w:t>
      </w:r>
      <w:r w:rsidR="00DB5E64" w:rsidRPr="00D77586">
        <w:t>step</w:t>
      </w:r>
      <w:r w:rsidR="00DB5E64">
        <w:t>-</w:t>
      </w:r>
      <w:r w:rsidRPr="00D77586">
        <w:t>down process</w:t>
      </w:r>
      <w:r w:rsidR="00AA1657" w:rsidRPr="00D77586">
        <w:t xml:space="preserve">. PAE is based on </w:t>
      </w:r>
      <w:r w:rsidRPr="00D77586">
        <w:t>the equivalent heat input of natural gas being fired, offsetting the firing of fuel oil in the baseline period.</w:t>
      </w:r>
    </w:p>
    <w:p w14:paraId="661FDA4F" w14:textId="77777777" w:rsidR="00572A96" w:rsidRDefault="00572A96" w:rsidP="00AC1BCD">
      <w:pPr>
        <w:pStyle w:val="ListParagraph"/>
        <w:ind w:left="1440"/>
        <w:rPr>
          <w:b/>
          <w:bCs/>
          <w:i/>
        </w:rPr>
      </w:pPr>
    </w:p>
    <w:p w14:paraId="77CBE1B8" w14:textId="77777777" w:rsidR="00572A96" w:rsidRDefault="00572A96" w:rsidP="00AC1BCD">
      <w:pPr>
        <w:pStyle w:val="ListParagraph"/>
        <w:ind w:left="1440"/>
        <w:rPr>
          <w:bCs/>
        </w:rPr>
      </w:pPr>
      <w:r>
        <w:rPr>
          <w:bCs/>
        </w:rPr>
        <w:t>For Cogen Boilers #6 and #7, emissions of PM, PM</w:t>
      </w:r>
      <w:r>
        <w:rPr>
          <w:bCs/>
          <w:vertAlign w:val="subscript"/>
        </w:rPr>
        <w:t>10</w:t>
      </w:r>
      <w:r>
        <w:rPr>
          <w:bCs/>
        </w:rPr>
        <w:t>, PM</w:t>
      </w:r>
      <w:r>
        <w:rPr>
          <w:bCs/>
          <w:vertAlign w:val="subscript"/>
        </w:rPr>
        <w:t>2.5</w:t>
      </w:r>
      <w:r>
        <w:rPr>
          <w:bCs/>
        </w:rPr>
        <w:t xml:space="preserve">, and </w:t>
      </w:r>
      <w:r>
        <w:t>SO</w:t>
      </w:r>
      <w:r>
        <w:rPr>
          <w:vertAlign w:val="subscript"/>
        </w:rPr>
        <w:t>2</w:t>
      </w:r>
      <w:r>
        <w:rPr>
          <w:bCs/>
        </w:rPr>
        <w:t xml:space="preserve"> are based on AP-42, Table 1.4-2. Emissions of CO are based on AP-42, Table 1.4-1.</w:t>
      </w:r>
    </w:p>
    <w:p w14:paraId="70983C12" w14:textId="77777777" w:rsidR="00572A96" w:rsidRDefault="00572A96" w:rsidP="00AC1BCD">
      <w:pPr>
        <w:pStyle w:val="ListParagraph"/>
        <w:ind w:left="1440"/>
        <w:rPr>
          <w:bCs/>
        </w:rPr>
      </w:pPr>
    </w:p>
    <w:p w14:paraId="0C2B0898" w14:textId="69CF7BDD" w:rsidR="00572A96" w:rsidRPr="005B17CE" w:rsidRDefault="00572A96" w:rsidP="00AC1BCD">
      <w:pPr>
        <w:pStyle w:val="ListParagraph"/>
        <w:ind w:left="1440"/>
        <w:rPr>
          <w:bCs/>
        </w:rPr>
      </w:pPr>
      <w:r>
        <w:rPr>
          <w:bCs/>
        </w:rPr>
        <w:t>Emissions of NO</w:t>
      </w:r>
      <w:r w:rsidRPr="00EB2AA3">
        <w:rPr>
          <w:bCs/>
          <w:vertAlign w:val="subscript"/>
        </w:rPr>
        <w:t>x</w:t>
      </w:r>
      <w:r>
        <w:rPr>
          <w:bCs/>
        </w:rPr>
        <w:t xml:space="preserve"> are based on a proposed license limit, and emissions of VOC are based on the existing Part 70 license limit for the units.</w:t>
      </w:r>
    </w:p>
    <w:p w14:paraId="7C398315" w14:textId="77777777" w:rsidR="00AA1657" w:rsidRDefault="00AA1657" w:rsidP="00AC1BCD">
      <w:pPr>
        <w:jc w:val="left"/>
        <w:rPr>
          <w:bCs/>
          <w:szCs w:val="24"/>
        </w:rPr>
      </w:pPr>
    </w:p>
    <w:p w14:paraId="4566C17A" w14:textId="5A26D3BD" w:rsidR="00AA1657" w:rsidRPr="00BF60DB" w:rsidRDefault="00D77586" w:rsidP="00AC1BCD">
      <w:pPr>
        <w:pStyle w:val="ListParagraph"/>
        <w:numPr>
          <w:ilvl w:val="0"/>
          <w:numId w:val="26"/>
        </w:numPr>
        <w:rPr>
          <w:iCs/>
        </w:rPr>
      </w:pPr>
      <w:r w:rsidRPr="00BF60DB">
        <w:rPr>
          <w:iCs/>
        </w:rPr>
        <w:t>Recovery Boiler C</w:t>
      </w:r>
    </w:p>
    <w:p w14:paraId="1219411C" w14:textId="77777777" w:rsidR="00AA1657" w:rsidRPr="00BF60DB" w:rsidRDefault="00AA1657" w:rsidP="00AC1BCD">
      <w:pPr>
        <w:pStyle w:val="ListParagraph"/>
        <w:ind w:left="1440"/>
        <w:rPr>
          <w:iCs/>
        </w:rPr>
      </w:pPr>
    </w:p>
    <w:p w14:paraId="6DE39634" w14:textId="0D06A244" w:rsidR="00AA1657" w:rsidRDefault="00BF60DB" w:rsidP="00AC1BCD">
      <w:pPr>
        <w:pStyle w:val="ListParagraph"/>
        <w:ind w:left="1440"/>
        <w:rPr>
          <w:bCs/>
        </w:rPr>
      </w:pPr>
      <w:r w:rsidRPr="00BF60DB">
        <w:rPr>
          <w:iCs/>
        </w:rPr>
        <w:t>Recovery Boiler C</w:t>
      </w:r>
      <w:r w:rsidR="00AA1657" w:rsidRPr="00BF60DB">
        <w:rPr>
          <w:iCs/>
        </w:rPr>
        <w:t xml:space="preserve"> is considered</w:t>
      </w:r>
      <w:r w:rsidR="00AA1657">
        <w:rPr>
          <w:bCs/>
        </w:rPr>
        <w:t xml:space="preserve"> a physically modified unit. PAE </w:t>
      </w:r>
      <w:r w:rsidR="006005C1">
        <w:rPr>
          <w:bCs/>
        </w:rPr>
        <w:t xml:space="preserve">are </w:t>
      </w:r>
      <w:r w:rsidR="00AA1657">
        <w:rPr>
          <w:bCs/>
        </w:rPr>
        <w:t xml:space="preserve">based </w:t>
      </w:r>
      <w:r w:rsidR="006005C1">
        <w:rPr>
          <w:bCs/>
        </w:rPr>
        <w:t xml:space="preserve">on </w:t>
      </w:r>
      <w:r w:rsidRPr="00D77586">
        <w:t>the equivalent heat input of natural gas being fired, offsetting the firing of fuel oil in the baseline period</w:t>
      </w:r>
      <w:r w:rsidR="00AA1657">
        <w:rPr>
          <w:bCs/>
        </w:rPr>
        <w:t>.</w:t>
      </w:r>
    </w:p>
    <w:p w14:paraId="39B88580" w14:textId="77777777" w:rsidR="00857828" w:rsidRDefault="00857828" w:rsidP="00AC1BCD">
      <w:pPr>
        <w:pStyle w:val="ListParagraph"/>
        <w:ind w:left="1440"/>
      </w:pPr>
    </w:p>
    <w:p w14:paraId="76E640E9" w14:textId="161F7875" w:rsidR="00857828" w:rsidRDefault="00857828" w:rsidP="00AC1BCD">
      <w:pPr>
        <w:pStyle w:val="ListParagraph"/>
        <w:ind w:left="1440"/>
      </w:pPr>
      <w:r>
        <w:t xml:space="preserve">For Recovery Boiler C, </w:t>
      </w:r>
      <w:r w:rsidRPr="00BF60DB">
        <w:t>emissions of NO</w:t>
      </w:r>
      <w:r w:rsidRPr="00BF60DB">
        <w:rPr>
          <w:vertAlign w:val="subscript"/>
        </w:rPr>
        <w:t>x</w:t>
      </w:r>
      <w:r w:rsidRPr="00BF60DB">
        <w:t xml:space="preserve"> and CO were based on AP-42, Table</w:t>
      </w:r>
      <w:r w:rsidR="00572A96">
        <w:t> </w:t>
      </w:r>
      <w:r w:rsidRPr="00BF60DB">
        <w:t>1.</w:t>
      </w:r>
      <w:r w:rsidRPr="00857828">
        <w:t>4</w:t>
      </w:r>
      <w:r w:rsidR="00572A96">
        <w:noBreakHyphen/>
      </w:r>
      <w:r w:rsidRPr="00857828">
        <w:t>1</w:t>
      </w:r>
      <w:r w:rsidRPr="00BF60DB">
        <w:t>, utilizing low NO</w:t>
      </w:r>
      <w:r w:rsidRPr="00EB2AA3">
        <w:rPr>
          <w:vertAlign w:val="subscript"/>
        </w:rPr>
        <w:t>x</w:t>
      </w:r>
      <w:r w:rsidRPr="00BF60DB">
        <w:t xml:space="preserve"> burners.</w:t>
      </w:r>
      <w:r>
        <w:t xml:space="preserve"> </w:t>
      </w:r>
    </w:p>
    <w:p w14:paraId="7A551A6F" w14:textId="77777777" w:rsidR="00857828" w:rsidRDefault="00857828" w:rsidP="00AC1BCD">
      <w:pPr>
        <w:pStyle w:val="ListParagraph"/>
        <w:ind w:left="1440"/>
      </w:pPr>
    </w:p>
    <w:p w14:paraId="2DE414D4" w14:textId="77777777" w:rsidR="00857828" w:rsidRPr="00F260F2" w:rsidRDefault="00857828" w:rsidP="00AC1BCD">
      <w:pPr>
        <w:pStyle w:val="ListParagraph"/>
        <w:ind w:left="1440"/>
      </w:pPr>
      <w:r>
        <w:t>Emissions of PM, PM</w:t>
      </w:r>
      <w:r>
        <w:rPr>
          <w:vertAlign w:val="subscript"/>
        </w:rPr>
        <w:t>10</w:t>
      </w:r>
      <w:r>
        <w:t>, PM</w:t>
      </w:r>
      <w:r>
        <w:rPr>
          <w:vertAlign w:val="subscript"/>
        </w:rPr>
        <w:t xml:space="preserve">2.5, </w:t>
      </w:r>
      <w:r>
        <w:t>SO</w:t>
      </w:r>
      <w:r>
        <w:rPr>
          <w:vertAlign w:val="subscript"/>
        </w:rPr>
        <w:t xml:space="preserve">2, </w:t>
      </w:r>
      <w:r w:rsidRPr="00BF60DB">
        <w:t>and VOC</w:t>
      </w:r>
      <w:r>
        <w:t xml:space="preserve"> based on AP-42, Table 1.4-2.</w:t>
      </w:r>
    </w:p>
    <w:p w14:paraId="4F062A39" w14:textId="77777777" w:rsidR="00AA1657" w:rsidRDefault="00AA1657" w:rsidP="00AC1BCD">
      <w:pPr>
        <w:pStyle w:val="ListParagraph"/>
        <w:ind w:left="1440"/>
        <w:rPr>
          <w:bCs/>
        </w:rPr>
      </w:pPr>
    </w:p>
    <w:p w14:paraId="6C386A23" w14:textId="765C3009" w:rsidR="00A8166B" w:rsidRDefault="00A8166B" w:rsidP="00AC1BCD">
      <w:pPr>
        <w:ind w:left="1080"/>
        <w:rPr>
          <w:szCs w:val="24"/>
        </w:rPr>
      </w:pPr>
      <w:r>
        <w:rPr>
          <w:szCs w:val="24"/>
        </w:rPr>
        <w:t xml:space="preserve">Projected actual emissions from the </w:t>
      </w:r>
      <w:r w:rsidR="004559E8">
        <w:rPr>
          <w:szCs w:val="24"/>
        </w:rPr>
        <w:t xml:space="preserve">modified </w:t>
      </w:r>
      <w:r>
        <w:rPr>
          <w:szCs w:val="24"/>
        </w:rPr>
        <w:t>equipment are shown below.</w:t>
      </w:r>
    </w:p>
    <w:p w14:paraId="4B4CAEEF" w14:textId="77777777" w:rsidR="00A8166B" w:rsidRDefault="00A8166B" w:rsidP="00AC1BCD">
      <w:pPr>
        <w:jc w:val="center"/>
        <w:rPr>
          <w:b/>
          <w:szCs w:val="24"/>
          <w:u w:val="single"/>
        </w:rPr>
      </w:pPr>
    </w:p>
    <w:p w14:paraId="57DFE828" w14:textId="77777777" w:rsidR="00A8166B" w:rsidRPr="004B4F67" w:rsidRDefault="00A8166B" w:rsidP="00AC1BCD">
      <w:pPr>
        <w:jc w:val="center"/>
        <w:rPr>
          <w:b/>
          <w:szCs w:val="24"/>
          <w:u w:val="single"/>
        </w:rPr>
      </w:pPr>
      <w:r>
        <w:rPr>
          <w:b/>
          <w:szCs w:val="24"/>
          <w:u w:val="single"/>
        </w:rPr>
        <w:t>Projected Actual Emissions</w:t>
      </w:r>
    </w:p>
    <w:p w14:paraId="43DA1E7F" w14:textId="77777777" w:rsidR="00A8166B" w:rsidRPr="004B4F67" w:rsidRDefault="00A8166B" w:rsidP="00AC1BCD">
      <w:pPr>
        <w:ind w:left="720"/>
        <w:rPr>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16"/>
        <w:gridCol w:w="711"/>
        <w:gridCol w:w="821"/>
        <w:gridCol w:w="821"/>
        <w:gridCol w:w="821"/>
        <w:gridCol w:w="931"/>
        <w:gridCol w:w="821"/>
        <w:gridCol w:w="711"/>
      </w:tblGrid>
      <w:tr w:rsidR="00A8166B" w:rsidRPr="004B4F67" w14:paraId="324FD1BF" w14:textId="77777777" w:rsidTr="00EF7C86">
        <w:trPr>
          <w:trHeight w:val="300"/>
          <w:jc w:val="center"/>
        </w:trPr>
        <w:tc>
          <w:tcPr>
            <w:tcW w:w="0" w:type="auto"/>
            <w:shd w:val="pct15" w:color="auto" w:fill="auto"/>
            <w:noWrap/>
            <w:vAlign w:val="bottom"/>
            <w:hideMark/>
          </w:tcPr>
          <w:p w14:paraId="21D0D16B" w14:textId="77777777" w:rsidR="00A8166B" w:rsidRPr="002D3122" w:rsidRDefault="00A8166B" w:rsidP="00AC1BCD">
            <w:pPr>
              <w:rPr>
                <w:b/>
                <w:color w:val="000000"/>
                <w:sz w:val="22"/>
                <w:szCs w:val="22"/>
              </w:rPr>
            </w:pPr>
            <w:r w:rsidRPr="002D3122">
              <w:rPr>
                <w:b/>
                <w:color w:val="000000"/>
                <w:sz w:val="22"/>
                <w:szCs w:val="22"/>
              </w:rPr>
              <w:t>Equipment</w:t>
            </w:r>
          </w:p>
        </w:tc>
        <w:tc>
          <w:tcPr>
            <w:tcW w:w="0" w:type="auto"/>
            <w:shd w:val="pct15" w:color="auto" w:fill="auto"/>
            <w:noWrap/>
            <w:vAlign w:val="bottom"/>
            <w:hideMark/>
          </w:tcPr>
          <w:p w14:paraId="62FEC332" w14:textId="77777777" w:rsidR="00A8166B" w:rsidRPr="00EF7C86" w:rsidRDefault="00A8166B" w:rsidP="00AC1BCD">
            <w:pPr>
              <w:jc w:val="center"/>
              <w:rPr>
                <w:b/>
                <w:color w:val="000000"/>
                <w:sz w:val="22"/>
                <w:szCs w:val="22"/>
              </w:rPr>
            </w:pPr>
            <w:r w:rsidRPr="00EF7C86">
              <w:rPr>
                <w:b/>
                <w:color w:val="000000"/>
                <w:sz w:val="22"/>
                <w:szCs w:val="22"/>
              </w:rPr>
              <w:t>PM</w:t>
            </w:r>
          </w:p>
          <w:p w14:paraId="62934062" w14:textId="77777777" w:rsidR="00A8166B" w:rsidRPr="00EF7C86" w:rsidRDefault="00A8166B" w:rsidP="00AC1BCD">
            <w:pPr>
              <w:jc w:val="center"/>
              <w:rPr>
                <w:b/>
                <w:color w:val="000000"/>
                <w:sz w:val="22"/>
                <w:szCs w:val="22"/>
              </w:rPr>
            </w:pPr>
            <w:r w:rsidRPr="00EF7C86">
              <w:rPr>
                <w:b/>
                <w:color w:val="000000"/>
                <w:sz w:val="22"/>
                <w:szCs w:val="22"/>
              </w:rPr>
              <w:t>(tpy)</w:t>
            </w:r>
          </w:p>
        </w:tc>
        <w:tc>
          <w:tcPr>
            <w:tcW w:w="0" w:type="auto"/>
            <w:shd w:val="pct15" w:color="auto" w:fill="auto"/>
            <w:noWrap/>
            <w:vAlign w:val="bottom"/>
            <w:hideMark/>
          </w:tcPr>
          <w:p w14:paraId="4619ED08" w14:textId="77777777" w:rsidR="00A8166B" w:rsidRPr="00EF7C86" w:rsidRDefault="00A8166B" w:rsidP="00AC1BCD">
            <w:pPr>
              <w:jc w:val="center"/>
              <w:rPr>
                <w:b/>
                <w:color w:val="000000"/>
                <w:sz w:val="22"/>
                <w:szCs w:val="22"/>
              </w:rPr>
            </w:pPr>
            <w:r w:rsidRPr="00EF7C86">
              <w:rPr>
                <w:b/>
                <w:color w:val="000000"/>
                <w:sz w:val="22"/>
                <w:szCs w:val="22"/>
              </w:rPr>
              <w:t>PM</w:t>
            </w:r>
            <w:r w:rsidRPr="00EF7C86">
              <w:rPr>
                <w:b/>
                <w:color w:val="000000"/>
                <w:sz w:val="22"/>
                <w:szCs w:val="22"/>
                <w:vertAlign w:val="subscript"/>
              </w:rPr>
              <w:t>10</w:t>
            </w:r>
          </w:p>
          <w:p w14:paraId="6BA7284A" w14:textId="77777777" w:rsidR="00A8166B" w:rsidRPr="00EF7C86" w:rsidRDefault="00A8166B" w:rsidP="00AC1BCD">
            <w:pPr>
              <w:jc w:val="center"/>
              <w:rPr>
                <w:b/>
                <w:color w:val="000000"/>
                <w:sz w:val="22"/>
                <w:szCs w:val="22"/>
              </w:rPr>
            </w:pPr>
            <w:r w:rsidRPr="00EF7C86">
              <w:rPr>
                <w:b/>
                <w:color w:val="000000"/>
                <w:sz w:val="22"/>
                <w:szCs w:val="22"/>
              </w:rPr>
              <w:t>(tpy)</w:t>
            </w:r>
          </w:p>
        </w:tc>
        <w:tc>
          <w:tcPr>
            <w:tcW w:w="0" w:type="auto"/>
            <w:shd w:val="pct15" w:color="auto" w:fill="auto"/>
            <w:noWrap/>
            <w:vAlign w:val="bottom"/>
            <w:hideMark/>
          </w:tcPr>
          <w:p w14:paraId="06C19DAA" w14:textId="77777777" w:rsidR="00A8166B" w:rsidRPr="00EF7C86" w:rsidRDefault="00A8166B" w:rsidP="00AC1BCD">
            <w:pPr>
              <w:jc w:val="center"/>
              <w:rPr>
                <w:b/>
                <w:color w:val="000000"/>
                <w:sz w:val="22"/>
                <w:szCs w:val="22"/>
              </w:rPr>
            </w:pPr>
            <w:r w:rsidRPr="00EF7C86">
              <w:rPr>
                <w:b/>
                <w:color w:val="000000"/>
                <w:sz w:val="22"/>
                <w:szCs w:val="22"/>
              </w:rPr>
              <w:t>PM</w:t>
            </w:r>
            <w:r w:rsidRPr="00EF7C86">
              <w:rPr>
                <w:b/>
                <w:color w:val="000000"/>
                <w:sz w:val="22"/>
                <w:szCs w:val="22"/>
                <w:vertAlign w:val="subscript"/>
              </w:rPr>
              <w:t>2.5</w:t>
            </w:r>
          </w:p>
          <w:p w14:paraId="4CCA431F" w14:textId="77777777" w:rsidR="00A8166B" w:rsidRPr="00EF7C86" w:rsidRDefault="00A8166B" w:rsidP="00AC1BCD">
            <w:pPr>
              <w:jc w:val="center"/>
              <w:rPr>
                <w:b/>
                <w:color w:val="000000"/>
                <w:sz w:val="22"/>
                <w:szCs w:val="22"/>
              </w:rPr>
            </w:pPr>
            <w:r w:rsidRPr="00EF7C86">
              <w:rPr>
                <w:b/>
                <w:color w:val="000000"/>
                <w:sz w:val="22"/>
                <w:szCs w:val="22"/>
              </w:rPr>
              <w:t>(tpy)</w:t>
            </w:r>
          </w:p>
        </w:tc>
        <w:tc>
          <w:tcPr>
            <w:tcW w:w="0" w:type="auto"/>
            <w:shd w:val="pct15" w:color="auto" w:fill="auto"/>
            <w:noWrap/>
            <w:vAlign w:val="bottom"/>
            <w:hideMark/>
          </w:tcPr>
          <w:p w14:paraId="067DD73A" w14:textId="77777777" w:rsidR="00A8166B" w:rsidRPr="00EF7C86" w:rsidRDefault="00A8166B" w:rsidP="00AC1BCD">
            <w:pPr>
              <w:jc w:val="center"/>
              <w:rPr>
                <w:b/>
                <w:color w:val="000000"/>
                <w:sz w:val="22"/>
                <w:szCs w:val="22"/>
              </w:rPr>
            </w:pPr>
            <w:r w:rsidRPr="00EF7C86">
              <w:rPr>
                <w:b/>
                <w:color w:val="000000"/>
                <w:sz w:val="22"/>
                <w:szCs w:val="22"/>
              </w:rPr>
              <w:t>SO</w:t>
            </w:r>
            <w:r w:rsidRPr="00EF7C86">
              <w:rPr>
                <w:b/>
                <w:color w:val="000000"/>
                <w:sz w:val="22"/>
                <w:szCs w:val="22"/>
                <w:vertAlign w:val="subscript"/>
              </w:rPr>
              <w:t>2</w:t>
            </w:r>
          </w:p>
          <w:p w14:paraId="24B6932E" w14:textId="77777777" w:rsidR="00A8166B" w:rsidRPr="00EF7C86" w:rsidRDefault="00A8166B" w:rsidP="00AC1BCD">
            <w:pPr>
              <w:jc w:val="center"/>
              <w:rPr>
                <w:b/>
                <w:color w:val="000000"/>
                <w:sz w:val="22"/>
                <w:szCs w:val="22"/>
              </w:rPr>
            </w:pPr>
            <w:r w:rsidRPr="00EF7C86">
              <w:rPr>
                <w:b/>
                <w:color w:val="000000"/>
                <w:sz w:val="22"/>
                <w:szCs w:val="22"/>
              </w:rPr>
              <w:t>(tpy)</w:t>
            </w:r>
          </w:p>
        </w:tc>
        <w:tc>
          <w:tcPr>
            <w:tcW w:w="0" w:type="auto"/>
            <w:shd w:val="pct15" w:color="auto" w:fill="auto"/>
            <w:noWrap/>
            <w:vAlign w:val="bottom"/>
            <w:hideMark/>
          </w:tcPr>
          <w:p w14:paraId="0B390DA7" w14:textId="77777777" w:rsidR="00A8166B" w:rsidRPr="00EF7C86" w:rsidRDefault="00A8166B" w:rsidP="00AC1BCD">
            <w:pPr>
              <w:jc w:val="center"/>
              <w:rPr>
                <w:b/>
                <w:color w:val="000000"/>
                <w:sz w:val="22"/>
                <w:szCs w:val="22"/>
              </w:rPr>
            </w:pPr>
            <w:r w:rsidRPr="00EF7C86">
              <w:rPr>
                <w:b/>
                <w:color w:val="000000"/>
                <w:sz w:val="22"/>
                <w:szCs w:val="22"/>
              </w:rPr>
              <w:t>NO</w:t>
            </w:r>
            <w:r w:rsidRPr="00EF7C86">
              <w:rPr>
                <w:b/>
                <w:color w:val="000000"/>
                <w:sz w:val="22"/>
                <w:szCs w:val="22"/>
                <w:vertAlign w:val="subscript"/>
              </w:rPr>
              <w:t>x</w:t>
            </w:r>
          </w:p>
          <w:p w14:paraId="26CD6D27" w14:textId="77777777" w:rsidR="00A8166B" w:rsidRPr="00EF7C86" w:rsidRDefault="00A8166B" w:rsidP="00AC1BCD">
            <w:pPr>
              <w:jc w:val="center"/>
              <w:rPr>
                <w:b/>
                <w:color w:val="000000"/>
                <w:sz w:val="22"/>
                <w:szCs w:val="22"/>
              </w:rPr>
            </w:pPr>
            <w:r w:rsidRPr="00EF7C86">
              <w:rPr>
                <w:b/>
                <w:color w:val="000000"/>
                <w:sz w:val="22"/>
                <w:szCs w:val="22"/>
              </w:rPr>
              <w:t>(tpy)</w:t>
            </w:r>
          </w:p>
        </w:tc>
        <w:tc>
          <w:tcPr>
            <w:tcW w:w="0" w:type="auto"/>
            <w:shd w:val="pct15" w:color="auto" w:fill="auto"/>
            <w:noWrap/>
            <w:vAlign w:val="bottom"/>
            <w:hideMark/>
          </w:tcPr>
          <w:p w14:paraId="31E12E76" w14:textId="77777777" w:rsidR="00A8166B" w:rsidRPr="00EF7C86" w:rsidRDefault="00A8166B" w:rsidP="00AC1BCD">
            <w:pPr>
              <w:jc w:val="center"/>
              <w:rPr>
                <w:b/>
                <w:color w:val="000000"/>
                <w:sz w:val="22"/>
                <w:szCs w:val="22"/>
              </w:rPr>
            </w:pPr>
            <w:r w:rsidRPr="00EF7C86">
              <w:rPr>
                <w:b/>
                <w:color w:val="000000"/>
                <w:sz w:val="22"/>
                <w:szCs w:val="22"/>
              </w:rPr>
              <w:t>CO</w:t>
            </w:r>
          </w:p>
          <w:p w14:paraId="26C02EAC" w14:textId="77777777" w:rsidR="00A8166B" w:rsidRPr="00EF7C86" w:rsidRDefault="00A8166B" w:rsidP="00AC1BCD">
            <w:pPr>
              <w:jc w:val="center"/>
              <w:rPr>
                <w:b/>
                <w:color w:val="000000"/>
                <w:sz w:val="22"/>
                <w:szCs w:val="22"/>
              </w:rPr>
            </w:pPr>
            <w:r w:rsidRPr="00EF7C86">
              <w:rPr>
                <w:b/>
                <w:color w:val="000000"/>
                <w:sz w:val="22"/>
                <w:szCs w:val="22"/>
              </w:rPr>
              <w:t>(tpy)</w:t>
            </w:r>
          </w:p>
        </w:tc>
        <w:tc>
          <w:tcPr>
            <w:tcW w:w="0" w:type="auto"/>
            <w:shd w:val="pct15" w:color="auto" w:fill="auto"/>
            <w:noWrap/>
            <w:vAlign w:val="bottom"/>
            <w:hideMark/>
          </w:tcPr>
          <w:p w14:paraId="35CB531A" w14:textId="77777777" w:rsidR="00A8166B" w:rsidRPr="00EF7C86" w:rsidRDefault="00A8166B" w:rsidP="00AC1BCD">
            <w:pPr>
              <w:jc w:val="center"/>
              <w:rPr>
                <w:b/>
                <w:color w:val="000000"/>
                <w:sz w:val="22"/>
                <w:szCs w:val="22"/>
              </w:rPr>
            </w:pPr>
            <w:r w:rsidRPr="00EF7C86">
              <w:rPr>
                <w:b/>
                <w:color w:val="000000"/>
                <w:sz w:val="22"/>
                <w:szCs w:val="22"/>
              </w:rPr>
              <w:t>VOC</w:t>
            </w:r>
          </w:p>
          <w:p w14:paraId="543FE562" w14:textId="77777777" w:rsidR="00A8166B" w:rsidRPr="00EF7C86" w:rsidRDefault="00A8166B" w:rsidP="00AC1BCD">
            <w:pPr>
              <w:jc w:val="center"/>
              <w:rPr>
                <w:b/>
                <w:color w:val="000000"/>
                <w:sz w:val="22"/>
                <w:szCs w:val="22"/>
              </w:rPr>
            </w:pPr>
            <w:r w:rsidRPr="00EF7C86">
              <w:rPr>
                <w:b/>
                <w:color w:val="000000"/>
                <w:sz w:val="22"/>
                <w:szCs w:val="22"/>
              </w:rPr>
              <w:t>(tpy)</w:t>
            </w:r>
          </w:p>
        </w:tc>
      </w:tr>
      <w:tr w:rsidR="00A26F38" w:rsidRPr="004B4F67" w14:paraId="755EC103" w14:textId="77777777" w:rsidTr="00EF7C86">
        <w:trPr>
          <w:trHeight w:val="315"/>
          <w:jc w:val="center"/>
        </w:trPr>
        <w:tc>
          <w:tcPr>
            <w:tcW w:w="0" w:type="auto"/>
            <w:vAlign w:val="center"/>
          </w:tcPr>
          <w:p w14:paraId="3B2E4A81" w14:textId="5E1B7A12" w:rsidR="00A26F38" w:rsidRPr="002D3122" w:rsidRDefault="00A26F38" w:rsidP="00AC1BCD">
            <w:pPr>
              <w:jc w:val="center"/>
              <w:rPr>
                <w:color w:val="000000"/>
                <w:sz w:val="22"/>
                <w:szCs w:val="22"/>
              </w:rPr>
            </w:pPr>
            <w:r w:rsidRPr="002412C0">
              <w:rPr>
                <w:bCs/>
                <w:iCs/>
                <w:szCs w:val="24"/>
              </w:rPr>
              <w:t>Recovery</w:t>
            </w:r>
            <w:r>
              <w:rPr>
                <w:bCs/>
                <w:iCs/>
                <w:szCs w:val="24"/>
              </w:rPr>
              <w:t xml:space="preserve"> </w:t>
            </w:r>
            <w:r w:rsidRPr="002412C0">
              <w:rPr>
                <w:bCs/>
                <w:iCs/>
                <w:szCs w:val="24"/>
              </w:rPr>
              <w:t>Boiler C</w:t>
            </w:r>
          </w:p>
        </w:tc>
        <w:tc>
          <w:tcPr>
            <w:tcW w:w="0" w:type="auto"/>
            <w:noWrap/>
            <w:vAlign w:val="center"/>
          </w:tcPr>
          <w:p w14:paraId="79ED0097" w14:textId="47EFCE94" w:rsidR="00A26F38" w:rsidRPr="00EF7C86" w:rsidRDefault="00A26F38" w:rsidP="00AC1BCD">
            <w:pPr>
              <w:jc w:val="center"/>
              <w:rPr>
                <w:color w:val="000000"/>
                <w:sz w:val="22"/>
                <w:szCs w:val="22"/>
              </w:rPr>
            </w:pPr>
            <w:r w:rsidRPr="00EF7C86">
              <w:rPr>
                <w:color w:val="000000"/>
                <w:sz w:val="22"/>
                <w:szCs w:val="22"/>
              </w:rPr>
              <w:t>83.</w:t>
            </w:r>
            <w:r w:rsidR="00EF7C86" w:rsidRPr="00EF7C86">
              <w:rPr>
                <w:color w:val="000000"/>
                <w:sz w:val="22"/>
                <w:szCs w:val="22"/>
              </w:rPr>
              <w:t>56</w:t>
            </w:r>
          </w:p>
        </w:tc>
        <w:tc>
          <w:tcPr>
            <w:tcW w:w="0" w:type="auto"/>
            <w:noWrap/>
            <w:vAlign w:val="center"/>
          </w:tcPr>
          <w:p w14:paraId="143C96DF" w14:textId="01BAABB5" w:rsidR="00A26F38" w:rsidRPr="00EF7C86" w:rsidRDefault="00A81DAC" w:rsidP="00AC1BCD">
            <w:pPr>
              <w:jc w:val="center"/>
              <w:rPr>
                <w:color w:val="000000"/>
                <w:sz w:val="22"/>
                <w:szCs w:val="22"/>
              </w:rPr>
            </w:pPr>
            <w:r w:rsidRPr="00EF7C86">
              <w:rPr>
                <w:color w:val="000000"/>
                <w:sz w:val="22"/>
                <w:szCs w:val="22"/>
              </w:rPr>
              <w:t>124.</w:t>
            </w:r>
            <w:r w:rsidR="00EF7C86" w:rsidRPr="00EF7C86">
              <w:rPr>
                <w:color w:val="000000"/>
                <w:sz w:val="22"/>
                <w:szCs w:val="22"/>
              </w:rPr>
              <w:t>00</w:t>
            </w:r>
          </w:p>
        </w:tc>
        <w:tc>
          <w:tcPr>
            <w:tcW w:w="0" w:type="auto"/>
            <w:noWrap/>
            <w:vAlign w:val="center"/>
          </w:tcPr>
          <w:p w14:paraId="73749FC8" w14:textId="3FCB87CE" w:rsidR="00A26F38" w:rsidRPr="00EF7C86" w:rsidRDefault="00A26F38" w:rsidP="00AC1BCD">
            <w:pPr>
              <w:jc w:val="center"/>
              <w:rPr>
                <w:color w:val="000000"/>
                <w:sz w:val="22"/>
                <w:szCs w:val="22"/>
              </w:rPr>
            </w:pPr>
            <w:r w:rsidRPr="00EF7C86">
              <w:rPr>
                <w:color w:val="000000"/>
                <w:sz w:val="22"/>
                <w:szCs w:val="22"/>
              </w:rPr>
              <w:t>110.</w:t>
            </w:r>
            <w:r w:rsidR="00EF7C86" w:rsidRPr="00EF7C86">
              <w:rPr>
                <w:color w:val="000000"/>
                <w:sz w:val="22"/>
                <w:szCs w:val="22"/>
              </w:rPr>
              <w:t>59</w:t>
            </w:r>
          </w:p>
        </w:tc>
        <w:tc>
          <w:tcPr>
            <w:tcW w:w="0" w:type="auto"/>
            <w:noWrap/>
            <w:vAlign w:val="center"/>
          </w:tcPr>
          <w:p w14:paraId="5C22B364" w14:textId="478AE3CC" w:rsidR="00A26F38" w:rsidRPr="00EF7C86" w:rsidRDefault="00A26F38" w:rsidP="00AC1BCD">
            <w:pPr>
              <w:jc w:val="center"/>
              <w:rPr>
                <w:color w:val="000000"/>
                <w:sz w:val="22"/>
                <w:szCs w:val="22"/>
              </w:rPr>
            </w:pPr>
            <w:r w:rsidRPr="00EF7C86">
              <w:rPr>
                <w:color w:val="000000"/>
                <w:sz w:val="22"/>
                <w:szCs w:val="22"/>
              </w:rPr>
              <w:t>8</w:t>
            </w:r>
            <w:r w:rsidR="00EF7C86" w:rsidRPr="00EF7C86">
              <w:rPr>
                <w:color w:val="000000"/>
                <w:sz w:val="22"/>
                <w:szCs w:val="22"/>
              </w:rPr>
              <w:t>4.38</w:t>
            </w:r>
          </w:p>
        </w:tc>
        <w:tc>
          <w:tcPr>
            <w:tcW w:w="0" w:type="auto"/>
            <w:noWrap/>
            <w:vAlign w:val="center"/>
          </w:tcPr>
          <w:p w14:paraId="3A48E75C" w14:textId="36CB46C5" w:rsidR="00A26F38" w:rsidRPr="00EF7C86" w:rsidRDefault="00A26F38" w:rsidP="00AC1BCD">
            <w:pPr>
              <w:jc w:val="center"/>
              <w:rPr>
                <w:color w:val="000000"/>
                <w:sz w:val="22"/>
                <w:szCs w:val="22"/>
              </w:rPr>
            </w:pPr>
            <w:r w:rsidRPr="00EF7C86">
              <w:rPr>
                <w:color w:val="000000"/>
                <w:sz w:val="22"/>
                <w:szCs w:val="22"/>
              </w:rPr>
              <w:t>49</w:t>
            </w:r>
            <w:r w:rsidR="00EF7C86" w:rsidRPr="00EF7C86">
              <w:rPr>
                <w:color w:val="000000"/>
                <w:sz w:val="22"/>
                <w:szCs w:val="22"/>
              </w:rPr>
              <w:t>5.00</w:t>
            </w:r>
          </w:p>
        </w:tc>
        <w:tc>
          <w:tcPr>
            <w:tcW w:w="0" w:type="auto"/>
            <w:noWrap/>
            <w:vAlign w:val="center"/>
          </w:tcPr>
          <w:p w14:paraId="19E07AB5" w14:textId="152335EC" w:rsidR="00A26F38" w:rsidRPr="00EF7C86" w:rsidRDefault="00A26F38" w:rsidP="00AC1BCD">
            <w:pPr>
              <w:jc w:val="center"/>
              <w:rPr>
                <w:color w:val="000000"/>
                <w:sz w:val="22"/>
                <w:szCs w:val="22"/>
              </w:rPr>
            </w:pPr>
            <w:r w:rsidRPr="00EF7C86">
              <w:rPr>
                <w:color w:val="000000"/>
                <w:sz w:val="22"/>
                <w:szCs w:val="22"/>
              </w:rPr>
              <w:t>45</w:t>
            </w:r>
            <w:r w:rsidR="00EF7C86" w:rsidRPr="00EF7C86">
              <w:rPr>
                <w:color w:val="000000"/>
                <w:sz w:val="22"/>
                <w:szCs w:val="22"/>
              </w:rPr>
              <w:t>8</w:t>
            </w:r>
            <w:r w:rsidRPr="00EF7C86">
              <w:rPr>
                <w:color w:val="000000"/>
                <w:sz w:val="22"/>
                <w:szCs w:val="22"/>
              </w:rPr>
              <w:t>.</w:t>
            </w:r>
            <w:r w:rsidR="00EF7C86" w:rsidRPr="00EF7C86">
              <w:rPr>
                <w:color w:val="000000"/>
                <w:sz w:val="22"/>
                <w:szCs w:val="22"/>
              </w:rPr>
              <w:t>53</w:t>
            </w:r>
          </w:p>
        </w:tc>
        <w:tc>
          <w:tcPr>
            <w:tcW w:w="0" w:type="auto"/>
            <w:noWrap/>
            <w:vAlign w:val="center"/>
          </w:tcPr>
          <w:p w14:paraId="53D033C4" w14:textId="7259D187" w:rsidR="00A26F38" w:rsidRPr="00EF7C86" w:rsidRDefault="00A26F38" w:rsidP="00AC1BCD">
            <w:pPr>
              <w:jc w:val="center"/>
              <w:rPr>
                <w:color w:val="000000"/>
                <w:sz w:val="22"/>
                <w:szCs w:val="22"/>
              </w:rPr>
            </w:pPr>
            <w:r w:rsidRPr="00EF7C86">
              <w:rPr>
                <w:color w:val="000000"/>
                <w:sz w:val="22"/>
                <w:szCs w:val="22"/>
              </w:rPr>
              <w:t>16.</w:t>
            </w:r>
            <w:r w:rsidR="00EF7C86" w:rsidRPr="00EF7C86">
              <w:rPr>
                <w:color w:val="000000"/>
                <w:sz w:val="22"/>
                <w:szCs w:val="22"/>
              </w:rPr>
              <w:t>41</w:t>
            </w:r>
          </w:p>
        </w:tc>
      </w:tr>
      <w:tr w:rsidR="00E270D0" w:rsidRPr="004B4F67" w14:paraId="186070E5" w14:textId="77777777" w:rsidTr="00EF7C86">
        <w:trPr>
          <w:trHeight w:val="315"/>
          <w:jc w:val="center"/>
        </w:trPr>
        <w:tc>
          <w:tcPr>
            <w:tcW w:w="0" w:type="auto"/>
            <w:vAlign w:val="center"/>
          </w:tcPr>
          <w:p w14:paraId="4F1F95FC" w14:textId="7145BF9E" w:rsidR="00E270D0" w:rsidRPr="002D3122" w:rsidRDefault="00E270D0" w:rsidP="00AC1BCD">
            <w:pPr>
              <w:jc w:val="center"/>
              <w:rPr>
                <w:color w:val="000000"/>
                <w:sz w:val="22"/>
                <w:szCs w:val="22"/>
              </w:rPr>
            </w:pPr>
            <w:r w:rsidRPr="002412C0">
              <w:rPr>
                <w:bCs/>
                <w:iCs/>
                <w:szCs w:val="24"/>
              </w:rPr>
              <w:t>Cogen Boiler</w:t>
            </w:r>
            <w:r>
              <w:rPr>
                <w:bCs/>
                <w:iCs/>
                <w:szCs w:val="24"/>
              </w:rPr>
              <w:t>s (Combined)</w:t>
            </w:r>
          </w:p>
        </w:tc>
        <w:tc>
          <w:tcPr>
            <w:tcW w:w="0" w:type="auto"/>
            <w:noWrap/>
            <w:vAlign w:val="center"/>
          </w:tcPr>
          <w:p w14:paraId="09C9D52B" w14:textId="0642ACFC" w:rsidR="00E270D0" w:rsidRPr="00EF7C86" w:rsidRDefault="00E270D0" w:rsidP="00AC1BCD">
            <w:pPr>
              <w:jc w:val="center"/>
              <w:rPr>
                <w:color w:val="000000"/>
                <w:sz w:val="22"/>
                <w:szCs w:val="22"/>
              </w:rPr>
            </w:pPr>
            <w:r w:rsidRPr="00EF7C86">
              <w:rPr>
                <w:color w:val="000000"/>
                <w:sz w:val="22"/>
                <w:szCs w:val="22"/>
              </w:rPr>
              <w:t>13.</w:t>
            </w:r>
            <w:r w:rsidR="00EF7C86" w:rsidRPr="00EF7C86">
              <w:rPr>
                <w:color w:val="000000"/>
                <w:sz w:val="22"/>
                <w:szCs w:val="22"/>
              </w:rPr>
              <w:t>76</w:t>
            </w:r>
          </w:p>
        </w:tc>
        <w:tc>
          <w:tcPr>
            <w:tcW w:w="0" w:type="auto"/>
            <w:noWrap/>
            <w:vAlign w:val="center"/>
          </w:tcPr>
          <w:p w14:paraId="1F038653" w14:textId="10B38F42" w:rsidR="00E270D0" w:rsidRPr="00EF7C86" w:rsidRDefault="00E270D0" w:rsidP="00AC1BCD">
            <w:pPr>
              <w:jc w:val="center"/>
              <w:rPr>
                <w:color w:val="000000"/>
                <w:sz w:val="22"/>
                <w:szCs w:val="22"/>
              </w:rPr>
            </w:pPr>
            <w:r w:rsidRPr="00EF7C86">
              <w:rPr>
                <w:color w:val="000000"/>
                <w:sz w:val="22"/>
                <w:szCs w:val="22"/>
              </w:rPr>
              <w:t>55.</w:t>
            </w:r>
            <w:r w:rsidR="00EF7C86" w:rsidRPr="00EF7C86">
              <w:rPr>
                <w:color w:val="000000"/>
                <w:sz w:val="22"/>
                <w:szCs w:val="22"/>
              </w:rPr>
              <w:t>54</w:t>
            </w:r>
          </w:p>
        </w:tc>
        <w:tc>
          <w:tcPr>
            <w:tcW w:w="0" w:type="auto"/>
            <w:noWrap/>
            <w:vAlign w:val="center"/>
          </w:tcPr>
          <w:p w14:paraId="6544DE5D" w14:textId="6A756844" w:rsidR="00E270D0" w:rsidRPr="00EF7C86" w:rsidRDefault="00E270D0" w:rsidP="00AC1BCD">
            <w:pPr>
              <w:jc w:val="center"/>
              <w:rPr>
                <w:color w:val="000000"/>
                <w:sz w:val="22"/>
                <w:szCs w:val="22"/>
              </w:rPr>
            </w:pPr>
            <w:r w:rsidRPr="00EF7C86">
              <w:rPr>
                <w:color w:val="000000"/>
                <w:sz w:val="22"/>
                <w:szCs w:val="22"/>
              </w:rPr>
              <w:t>54</w:t>
            </w:r>
            <w:r w:rsidR="00EF7C86" w:rsidRPr="00EF7C86">
              <w:rPr>
                <w:color w:val="000000"/>
                <w:sz w:val="22"/>
                <w:szCs w:val="22"/>
              </w:rPr>
              <w:t>.04</w:t>
            </w:r>
          </w:p>
        </w:tc>
        <w:tc>
          <w:tcPr>
            <w:tcW w:w="0" w:type="auto"/>
            <w:noWrap/>
            <w:vAlign w:val="center"/>
          </w:tcPr>
          <w:p w14:paraId="1E13892D" w14:textId="72D5E987" w:rsidR="00E270D0" w:rsidRPr="00EF7C86" w:rsidRDefault="00E270D0" w:rsidP="00AC1BCD">
            <w:pPr>
              <w:jc w:val="center"/>
              <w:rPr>
                <w:color w:val="000000"/>
                <w:sz w:val="22"/>
                <w:szCs w:val="22"/>
              </w:rPr>
            </w:pPr>
            <w:r w:rsidRPr="00EF7C86">
              <w:rPr>
                <w:color w:val="000000"/>
                <w:sz w:val="22"/>
                <w:szCs w:val="22"/>
              </w:rPr>
              <w:t>783.</w:t>
            </w:r>
            <w:r w:rsidR="00EF7C86" w:rsidRPr="00EF7C86">
              <w:rPr>
                <w:color w:val="000000"/>
                <w:sz w:val="22"/>
                <w:szCs w:val="22"/>
              </w:rPr>
              <w:t>87</w:t>
            </w:r>
          </w:p>
        </w:tc>
        <w:tc>
          <w:tcPr>
            <w:tcW w:w="0" w:type="auto"/>
            <w:noWrap/>
            <w:vAlign w:val="center"/>
          </w:tcPr>
          <w:p w14:paraId="6E8252B2" w14:textId="56D444BC" w:rsidR="00E270D0" w:rsidRPr="00EF7C86" w:rsidRDefault="00E270D0" w:rsidP="00AC1BCD">
            <w:pPr>
              <w:jc w:val="center"/>
              <w:rPr>
                <w:color w:val="000000"/>
                <w:sz w:val="22"/>
                <w:szCs w:val="22"/>
              </w:rPr>
            </w:pPr>
            <w:r w:rsidRPr="00EF7C86">
              <w:rPr>
                <w:color w:val="000000"/>
                <w:sz w:val="22"/>
                <w:szCs w:val="22"/>
              </w:rPr>
              <w:t>1082.</w:t>
            </w:r>
            <w:r w:rsidR="00EF7C86" w:rsidRPr="00EF7C86">
              <w:rPr>
                <w:color w:val="000000"/>
                <w:sz w:val="22"/>
                <w:szCs w:val="22"/>
              </w:rPr>
              <w:t>18</w:t>
            </w:r>
          </w:p>
        </w:tc>
        <w:tc>
          <w:tcPr>
            <w:tcW w:w="0" w:type="auto"/>
            <w:noWrap/>
            <w:vAlign w:val="center"/>
          </w:tcPr>
          <w:p w14:paraId="18AB5E38" w14:textId="158F8DFC" w:rsidR="00E270D0" w:rsidRPr="00EF7C86" w:rsidRDefault="00E270D0" w:rsidP="00AC1BCD">
            <w:pPr>
              <w:jc w:val="center"/>
              <w:rPr>
                <w:color w:val="000000"/>
                <w:sz w:val="22"/>
                <w:szCs w:val="22"/>
              </w:rPr>
            </w:pPr>
            <w:r w:rsidRPr="00EF7C86">
              <w:rPr>
                <w:color w:val="000000"/>
                <w:sz w:val="22"/>
                <w:szCs w:val="22"/>
              </w:rPr>
              <w:t>32.</w:t>
            </w:r>
            <w:r w:rsidR="00EF7C86" w:rsidRPr="00EF7C86">
              <w:rPr>
                <w:color w:val="000000"/>
                <w:sz w:val="22"/>
                <w:szCs w:val="22"/>
              </w:rPr>
              <w:t>81</w:t>
            </w:r>
          </w:p>
        </w:tc>
        <w:tc>
          <w:tcPr>
            <w:tcW w:w="0" w:type="auto"/>
            <w:noWrap/>
            <w:vAlign w:val="center"/>
          </w:tcPr>
          <w:p w14:paraId="014A3F06" w14:textId="612829AD" w:rsidR="00E270D0" w:rsidRPr="00EF7C86" w:rsidRDefault="00E270D0" w:rsidP="00AC1BCD">
            <w:pPr>
              <w:jc w:val="center"/>
              <w:rPr>
                <w:color w:val="000000"/>
                <w:sz w:val="22"/>
                <w:szCs w:val="22"/>
              </w:rPr>
            </w:pPr>
            <w:r w:rsidRPr="00EF7C86">
              <w:rPr>
                <w:color w:val="000000"/>
                <w:sz w:val="22"/>
                <w:szCs w:val="22"/>
              </w:rPr>
              <w:t>1.</w:t>
            </w:r>
            <w:r w:rsidR="00EF7C86" w:rsidRPr="00EF7C86">
              <w:rPr>
                <w:color w:val="000000"/>
                <w:sz w:val="22"/>
                <w:szCs w:val="22"/>
              </w:rPr>
              <w:t>51</w:t>
            </w:r>
          </w:p>
        </w:tc>
      </w:tr>
      <w:tr w:rsidR="00EF7C86" w:rsidRPr="004B4F67" w14:paraId="27065BB0" w14:textId="77777777" w:rsidTr="00EF7C86">
        <w:trPr>
          <w:trHeight w:val="315"/>
          <w:jc w:val="center"/>
        </w:trPr>
        <w:tc>
          <w:tcPr>
            <w:tcW w:w="0" w:type="auto"/>
            <w:tcBorders>
              <w:top w:val="single" w:sz="12" w:space="0" w:color="auto"/>
              <w:bottom w:val="double" w:sz="4" w:space="0" w:color="auto"/>
            </w:tcBorders>
            <w:vAlign w:val="center"/>
            <w:hideMark/>
          </w:tcPr>
          <w:p w14:paraId="46D7BF02" w14:textId="77777777" w:rsidR="00EF7C86" w:rsidRPr="002D3122" w:rsidRDefault="00EF7C86" w:rsidP="00EF7C86">
            <w:pPr>
              <w:jc w:val="center"/>
              <w:rPr>
                <w:b/>
                <w:color w:val="000000"/>
                <w:sz w:val="22"/>
                <w:szCs w:val="22"/>
              </w:rPr>
            </w:pPr>
            <w:r w:rsidRPr="002D3122">
              <w:rPr>
                <w:b/>
                <w:color w:val="000000"/>
                <w:sz w:val="22"/>
                <w:szCs w:val="22"/>
              </w:rPr>
              <w:t>Total</w:t>
            </w:r>
          </w:p>
        </w:tc>
        <w:tc>
          <w:tcPr>
            <w:tcW w:w="0" w:type="auto"/>
            <w:tcBorders>
              <w:top w:val="single" w:sz="12" w:space="0" w:color="auto"/>
              <w:bottom w:val="double" w:sz="4" w:space="0" w:color="auto"/>
            </w:tcBorders>
            <w:noWrap/>
            <w:vAlign w:val="bottom"/>
          </w:tcPr>
          <w:p w14:paraId="5DC78F72" w14:textId="655BBF02" w:rsidR="00EF7C86" w:rsidRPr="00EF7C86" w:rsidRDefault="00EF7C86" w:rsidP="00EF7C86">
            <w:pPr>
              <w:jc w:val="center"/>
              <w:rPr>
                <w:b/>
                <w:color w:val="000000"/>
                <w:sz w:val="22"/>
                <w:szCs w:val="22"/>
              </w:rPr>
            </w:pPr>
            <w:r w:rsidRPr="00EF7C86">
              <w:rPr>
                <w:sz w:val="22"/>
                <w:szCs w:val="22"/>
              </w:rPr>
              <w:t>97.32</w:t>
            </w:r>
          </w:p>
        </w:tc>
        <w:tc>
          <w:tcPr>
            <w:tcW w:w="0" w:type="auto"/>
            <w:tcBorders>
              <w:top w:val="single" w:sz="12" w:space="0" w:color="auto"/>
              <w:bottom w:val="double" w:sz="4" w:space="0" w:color="auto"/>
            </w:tcBorders>
            <w:noWrap/>
            <w:vAlign w:val="bottom"/>
          </w:tcPr>
          <w:p w14:paraId="4BD6F728" w14:textId="38D3909F" w:rsidR="00EF7C86" w:rsidRPr="00EF7C86" w:rsidRDefault="00EF7C86" w:rsidP="00EF7C86">
            <w:pPr>
              <w:jc w:val="center"/>
              <w:rPr>
                <w:b/>
                <w:color w:val="000000"/>
                <w:sz w:val="22"/>
                <w:szCs w:val="22"/>
              </w:rPr>
            </w:pPr>
            <w:r w:rsidRPr="00EF7C86">
              <w:rPr>
                <w:sz w:val="22"/>
                <w:szCs w:val="22"/>
              </w:rPr>
              <w:t>179.54</w:t>
            </w:r>
          </w:p>
        </w:tc>
        <w:tc>
          <w:tcPr>
            <w:tcW w:w="0" w:type="auto"/>
            <w:tcBorders>
              <w:top w:val="single" w:sz="12" w:space="0" w:color="auto"/>
              <w:bottom w:val="double" w:sz="4" w:space="0" w:color="auto"/>
            </w:tcBorders>
            <w:noWrap/>
            <w:vAlign w:val="bottom"/>
          </w:tcPr>
          <w:p w14:paraId="10D4A535" w14:textId="256BF2D5" w:rsidR="00EF7C86" w:rsidRPr="00EF7C86" w:rsidRDefault="00EF7C86" w:rsidP="00EF7C86">
            <w:pPr>
              <w:jc w:val="center"/>
              <w:rPr>
                <w:b/>
                <w:color w:val="000000"/>
                <w:sz w:val="22"/>
                <w:szCs w:val="22"/>
              </w:rPr>
            </w:pPr>
            <w:r w:rsidRPr="00EF7C86">
              <w:rPr>
                <w:sz w:val="22"/>
                <w:szCs w:val="22"/>
              </w:rPr>
              <w:t>164.63</w:t>
            </w:r>
          </w:p>
        </w:tc>
        <w:tc>
          <w:tcPr>
            <w:tcW w:w="0" w:type="auto"/>
            <w:tcBorders>
              <w:top w:val="single" w:sz="12" w:space="0" w:color="auto"/>
              <w:bottom w:val="double" w:sz="4" w:space="0" w:color="auto"/>
            </w:tcBorders>
            <w:noWrap/>
            <w:vAlign w:val="bottom"/>
          </w:tcPr>
          <w:p w14:paraId="48D29667" w14:textId="3BA3C6D5" w:rsidR="00EF7C86" w:rsidRPr="00EF7C86" w:rsidRDefault="00EF7C86" w:rsidP="00EF7C86">
            <w:pPr>
              <w:jc w:val="center"/>
              <w:rPr>
                <w:b/>
                <w:color w:val="000000"/>
                <w:sz w:val="22"/>
                <w:szCs w:val="22"/>
              </w:rPr>
            </w:pPr>
            <w:r w:rsidRPr="00EF7C86">
              <w:rPr>
                <w:sz w:val="22"/>
                <w:szCs w:val="22"/>
              </w:rPr>
              <w:t>868.25</w:t>
            </w:r>
          </w:p>
        </w:tc>
        <w:tc>
          <w:tcPr>
            <w:tcW w:w="0" w:type="auto"/>
            <w:tcBorders>
              <w:top w:val="single" w:sz="12" w:space="0" w:color="auto"/>
              <w:bottom w:val="double" w:sz="4" w:space="0" w:color="auto"/>
            </w:tcBorders>
            <w:noWrap/>
            <w:vAlign w:val="bottom"/>
          </w:tcPr>
          <w:p w14:paraId="51E0D771" w14:textId="1849A6C6" w:rsidR="00EF7C86" w:rsidRPr="00EF7C86" w:rsidRDefault="00EF7C86" w:rsidP="00EF7C86">
            <w:pPr>
              <w:jc w:val="center"/>
              <w:rPr>
                <w:b/>
                <w:color w:val="000000"/>
                <w:sz w:val="22"/>
                <w:szCs w:val="22"/>
              </w:rPr>
            </w:pPr>
            <w:r w:rsidRPr="00EF7C86">
              <w:rPr>
                <w:sz w:val="22"/>
                <w:szCs w:val="22"/>
              </w:rPr>
              <w:t>1577.18</w:t>
            </w:r>
          </w:p>
        </w:tc>
        <w:tc>
          <w:tcPr>
            <w:tcW w:w="0" w:type="auto"/>
            <w:tcBorders>
              <w:top w:val="single" w:sz="12" w:space="0" w:color="auto"/>
              <w:bottom w:val="double" w:sz="4" w:space="0" w:color="auto"/>
            </w:tcBorders>
            <w:noWrap/>
            <w:vAlign w:val="bottom"/>
          </w:tcPr>
          <w:p w14:paraId="39B5E4B7" w14:textId="11ED5E93" w:rsidR="00EF7C86" w:rsidRPr="00EF7C86" w:rsidRDefault="00EF7C86" w:rsidP="00EF7C86">
            <w:pPr>
              <w:jc w:val="center"/>
              <w:rPr>
                <w:b/>
                <w:color w:val="000000"/>
                <w:sz w:val="22"/>
                <w:szCs w:val="22"/>
              </w:rPr>
            </w:pPr>
            <w:r w:rsidRPr="00EF7C86">
              <w:rPr>
                <w:sz w:val="22"/>
                <w:szCs w:val="22"/>
              </w:rPr>
              <w:t>491.34</w:t>
            </w:r>
          </w:p>
        </w:tc>
        <w:tc>
          <w:tcPr>
            <w:tcW w:w="0" w:type="auto"/>
            <w:tcBorders>
              <w:top w:val="single" w:sz="12" w:space="0" w:color="auto"/>
              <w:bottom w:val="double" w:sz="4" w:space="0" w:color="auto"/>
            </w:tcBorders>
            <w:noWrap/>
            <w:vAlign w:val="bottom"/>
          </w:tcPr>
          <w:p w14:paraId="12141215" w14:textId="1146F3C2" w:rsidR="00EF7C86" w:rsidRPr="00EF7C86" w:rsidRDefault="00EF7C86" w:rsidP="00EF7C86">
            <w:pPr>
              <w:jc w:val="center"/>
              <w:rPr>
                <w:b/>
                <w:color w:val="000000"/>
                <w:sz w:val="22"/>
                <w:szCs w:val="22"/>
              </w:rPr>
            </w:pPr>
            <w:r w:rsidRPr="00EF7C86">
              <w:rPr>
                <w:sz w:val="22"/>
                <w:szCs w:val="22"/>
              </w:rPr>
              <w:t>17.92</w:t>
            </w:r>
          </w:p>
        </w:tc>
      </w:tr>
    </w:tbl>
    <w:p w14:paraId="7A6F8589" w14:textId="77777777" w:rsidR="00A8166B" w:rsidRDefault="00A8166B" w:rsidP="00AC1BCD">
      <w:pPr>
        <w:rPr>
          <w:bCs/>
          <w:szCs w:val="24"/>
        </w:rPr>
      </w:pPr>
    </w:p>
    <w:p w14:paraId="2362C591" w14:textId="77777777" w:rsidR="00A8166B" w:rsidRPr="00C06FA3" w:rsidRDefault="00A8166B" w:rsidP="00AC1BCD">
      <w:pPr>
        <w:pStyle w:val="ListParagraph"/>
        <w:numPr>
          <w:ilvl w:val="0"/>
          <w:numId w:val="18"/>
        </w:numPr>
        <w:rPr>
          <w:bCs/>
        </w:rPr>
      </w:pPr>
      <w:r w:rsidRPr="00C06FA3">
        <w:rPr>
          <w:bCs/>
        </w:rPr>
        <w:t>Emissions Increases</w:t>
      </w:r>
    </w:p>
    <w:p w14:paraId="1F421BA0" w14:textId="77777777" w:rsidR="00A8166B" w:rsidRDefault="00A8166B" w:rsidP="00AC1BCD">
      <w:pPr>
        <w:ind w:left="720"/>
        <w:rPr>
          <w:bCs/>
          <w:szCs w:val="24"/>
        </w:rPr>
      </w:pPr>
    </w:p>
    <w:p w14:paraId="462A9BB2" w14:textId="016643FE" w:rsidR="00A8166B" w:rsidRDefault="00A8166B" w:rsidP="00AC1BCD">
      <w:pPr>
        <w:ind w:left="1080"/>
        <w:rPr>
          <w:bCs/>
          <w:szCs w:val="24"/>
        </w:rPr>
      </w:pPr>
      <w:r>
        <w:rPr>
          <w:bCs/>
          <w:szCs w:val="24"/>
        </w:rPr>
        <w:t>Emissions increases are calculated by subtracting BAE and excludable emissions from the PAE. The emission increase</w:t>
      </w:r>
      <w:r w:rsidR="004559E8">
        <w:rPr>
          <w:bCs/>
          <w:szCs w:val="24"/>
        </w:rPr>
        <w:t>s</w:t>
      </w:r>
      <w:r>
        <w:rPr>
          <w:bCs/>
          <w:szCs w:val="24"/>
        </w:rPr>
        <w:t xml:space="preserve"> </w:t>
      </w:r>
      <w:r w:rsidR="004559E8">
        <w:rPr>
          <w:bCs/>
          <w:szCs w:val="24"/>
        </w:rPr>
        <w:t xml:space="preserve">are </w:t>
      </w:r>
      <w:r>
        <w:rPr>
          <w:bCs/>
          <w:szCs w:val="24"/>
        </w:rPr>
        <w:t>then compared to the significant emissions increase levels.</w:t>
      </w:r>
    </w:p>
    <w:p w14:paraId="6BA3DBF2" w14:textId="41CA5EB1" w:rsidR="00507B95" w:rsidRDefault="00507B95">
      <w:pPr>
        <w:jc w:val="left"/>
        <w:rPr>
          <w:szCs w:val="24"/>
        </w:rPr>
      </w:pPr>
      <w:r>
        <w:rPr>
          <w:szCs w:val="24"/>
        </w:rPr>
        <w:br w:type="page"/>
      </w:r>
    </w:p>
    <w:p w14:paraId="0B9F8372" w14:textId="77777777" w:rsidR="00A8166B" w:rsidRPr="000B0449" w:rsidRDefault="00A8166B" w:rsidP="00AC1BCD">
      <w:pPr>
        <w:ind w:left="720"/>
        <w:rPr>
          <w:szCs w:val="24"/>
        </w:rPr>
      </w:pPr>
    </w:p>
    <w:tbl>
      <w:tblPr>
        <w:tblW w:w="81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23"/>
        <w:gridCol w:w="1822"/>
        <w:gridCol w:w="1754"/>
        <w:gridCol w:w="1612"/>
        <w:gridCol w:w="1718"/>
      </w:tblGrid>
      <w:tr w:rsidR="00A26F38" w:rsidRPr="000B0449" w14:paraId="31ECB18E" w14:textId="77777777" w:rsidTr="00A26F38">
        <w:trPr>
          <w:jc w:val="center"/>
        </w:trPr>
        <w:tc>
          <w:tcPr>
            <w:tcW w:w="1223" w:type="dxa"/>
            <w:tcBorders>
              <w:top w:val="double" w:sz="4" w:space="0" w:color="auto"/>
              <w:bottom w:val="single" w:sz="6" w:space="0" w:color="auto"/>
            </w:tcBorders>
            <w:shd w:val="pct15" w:color="auto" w:fill="FFFFFF" w:themeFill="background1"/>
            <w:vAlign w:val="bottom"/>
          </w:tcPr>
          <w:p w14:paraId="0839BC6B" w14:textId="77777777" w:rsidR="00A26F38" w:rsidRPr="003B61E5" w:rsidRDefault="00A26F38" w:rsidP="00AC1BCD">
            <w:pPr>
              <w:jc w:val="center"/>
              <w:rPr>
                <w:b/>
                <w:szCs w:val="24"/>
              </w:rPr>
            </w:pPr>
          </w:p>
          <w:p w14:paraId="29FDFEC2" w14:textId="77777777" w:rsidR="00A26F38" w:rsidRPr="003B61E5" w:rsidRDefault="00A26F38" w:rsidP="00AC1BCD">
            <w:pPr>
              <w:jc w:val="center"/>
              <w:rPr>
                <w:b/>
                <w:szCs w:val="24"/>
              </w:rPr>
            </w:pPr>
          </w:p>
          <w:p w14:paraId="10232090" w14:textId="77777777" w:rsidR="00A26F38" w:rsidRPr="003B61E5" w:rsidRDefault="00A26F38" w:rsidP="00AC1BCD">
            <w:pPr>
              <w:jc w:val="center"/>
              <w:rPr>
                <w:b/>
                <w:szCs w:val="24"/>
              </w:rPr>
            </w:pPr>
          </w:p>
          <w:p w14:paraId="2EA4DDC0" w14:textId="77777777" w:rsidR="00A26F38" w:rsidRPr="003B61E5" w:rsidRDefault="00A26F38" w:rsidP="00AC1BCD">
            <w:pPr>
              <w:jc w:val="center"/>
              <w:rPr>
                <w:b/>
                <w:szCs w:val="24"/>
              </w:rPr>
            </w:pPr>
            <w:r w:rsidRPr="003B61E5">
              <w:rPr>
                <w:b/>
                <w:szCs w:val="24"/>
              </w:rPr>
              <w:t>Pollutant</w:t>
            </w:r>
          </w:p>
        </w:tc>
        <w:tc>
          <w:tcPr>
            <w:tcW w:w="1822" w:type="dxa"/>
            <w:tcBorders>
              <w:top w:val="double" w:sz="4" w:space="0" w:color="auto"/>
              <w:bottom w:val="single" w:sz="6" w:space="0" w:color="auto"/>
            </w:tcBorders>
            <w:shd w:val="pct15" w:color="auto" w:fill="FFFFFF" w:themeFill="background1"/>
            <w:vAlign w:val="bottom"/>
          </w:tcPr>
          <w:p w14:paraId="05DBD363" w14:textId="7A7AF8EF" w:rsidR="00A26F38" w:rsidRPr="003B61E5" w:rsidRDefault="00A26F38" w:rsidP="00AC1BCD">
            <w:pPr>
              <w:jc w:val="center"/>
              <w:rPr>
                <w:b/>
                <w:szCs w:val="24"/>
              </w:rPr>
            </w:pPr>
            <w:r w:rsidRPr="003B61E5">
              <w:rPr>
                <w:b/>
                <w:szCs w:val="24"/>
              </w:rPr>
              <w:t>Baseline Actual Emissions</w:t>
            </w:r>
            <w:r w:rsidRPr="003B61E5">
              <w:rPr>
                <w:b/>
                <w:szCs w:val="24"/>
              </w:rPr>
              <w:br/>
            </w:r>
            <w:r w:rsidR="004559E8" w:rsidRPr="00EB2AA3">
              <w:rPr>
                <w:b/>
                <w:bCs/>
                <w:szCs w:val="24"/>
              </w:rPr>
              <w:t>01/2017 – 12/2018</w:t>
            </w:r>
            <w:r w:rsidRPr="003B61E5">
              <w:rPr>
                <w:b/>
                <w:szCs w:val="24"/>
              </w:rPr>
              <w:br/>
              <w:t>(ton/year)</w:t>
            </w:r>
          </w:p>
        </w:tc>
        <w:tc>
          <w:tcPr>
            <w:tcW w:w="1754" w:type="dxa"/>
            <w:tcBorders>
              <w:top w:val="double" w:sz="4" w:space="0" w:color="auto"/>
              <w:bottom w:val="single" w:sz="6" w:space="0" w:color="auto"/>
            </w:tcBorders>
            <w:shd w:val="pct15" w:color="auto" w:fill="FFFFFF" w:themeFill="background1"/>
            <w:vAlign w:val="bottom"/>
          </w:tcPr>
          <w:p w14:paraId="5D493F20" w14:textId="77777777" w:rsidR="00A26F38" w:rsidRPr="003B61E5" w:rsidRDefault="00A26F38" w:rsidP="00AC1BCD">
            <w:pPr>
              <w:jc w:val="center"/>
              <w:rPr>
                <w:b/>
                <w:szCs w:val="24"/>
              </w:rPr>
            </w:pPr>
            <w:r w:rsidRPr="003B61E5">
              <w:rPr>
                <w:b/>
                <w:szCs w:val="24"/>
              </w:rPr>
              <w:t>Projected Actual Emissions</w:t>
            </w:r>
            <w:r w:rsidRPr="003B61E5">
              <w:rPr>
                <w:b/>
                <w:szCs w:val="24"/>
              </w:rPr>
              <w:br/>
              <w:t>(ton/year)</w:t>
            </w:r>
          </w:p>
        </w:tc>
        <w:tc>
          <w:tcPr>
            <w:tcW w:w="1612" w:type="dxa"/>
            <w:tcBorders>
              <w:top w:val="double" w:sz="4" w:space="0" w:color="auto"/>
              <w:bottom w:val="single" w:sz="6" w:space="0" w:color="auto"/>
            </w:tcBorders>
            <w:shd w:val="pct15" w:color="auto" w:fill="FFFFFF" w:themeFill="background1"/>
            <w:vAlign w:val="bottom"/>
          </w:tcPr>
          <w:p w14:paraId="1603DD8D" w14:textId="77777777" w:rsidR="00A26F38" w:rsidRPr="003B61E5" w:rsidRDefault="00A26F38" w:rsidP="00AC1BCD">
            <w:pPr>
              <w:jc w:val="center"/>
              <w:rPr>
                <w:b/>
                <w:szCs w:val="24"/>
              </w:rPr>
            </w:pPr>
            <w:r w:rsidRPr="003B61E5">
              <w:rPr>
                <w:b/>
                <w:szCs w:val="24"/>
              </w:rPr>
              <w:t>Emissions Increase</w:t>
            </w:r>
          </w:p>
          <w:p w14:paraId="2D573647" w14:textId="77777777" w:rsidR="00A26F38" w:rsidRPr="003B61E5" w:rsidRDefault="00A26F38" w:rsidP="00AC1BCD">
            <w:pPr>
              <w:jc w:val="center"/>
              <w:rPr>
                <w:b/>
                <w:szCs w:val="24"/>
              </w:rPr>
            </w:pPr>
            <w:r w:rsidRPr="003B61E5">
              <w:rPr>
                <w:b/>
                <w:szCs w:val="24"/>
              </w:rPr>
              <w:t>(ton/year)</w:t>
            </w:r>
          </w:p>
        </w:tc>
        <w:tc>
          <w:tcPr>
            <w:tcW w:w="1718" w:type="dxa"/>
            <w:tcBorders>
              <w:top w:val="double" w:sz="4" w:space="0" w:color="auto"/>
              <w:bottom w:val="single" w:sz="6" w:space="0" w:color="auto"/>
            </w:tcBorders>
            <w:shd w:val="pct15" w:color="auto" w:fill="FFFFFF" w:themeFill="background1"/>
            <w:vAlign w:val="bottom"/>
          </w:tcPr>
          <w:p w14:paraId="05CA0349" w14:textId="77777777" w:rsidR="00A26F38" w:rsidRPr="003B61E5" w:rsidRDefault="00A26F38" w:rsidP="00AC1BCD">
            <w:pPr>
              <w:jc w:val="center"/>
              <w:rPr>
                <w:b/>
                <w:szCs w:val="24"/>
              </w:rPr>
            </w:pPr>
            <w:r w:rsidRPr="003B61E5">
              <w:rPr>
                <w:b/>
                <w:szCs w:val="24"/>
              </w:rPr>
              <w:t xml:space="preserve">Significant Emissions Increase Levels </w:t>
            </w:r>
            <w:r w:rsidRPr="003B61E5">
              <w:rPr>
                <w:b/>
                <w:szCs w:val="24"/>
              </w:rPr>
              <w:br/>
              <w:t>(ton/year)</w:t>
            </w:r>
          </w:p>
        </w:tc>
      </w:tr>
      <w:tr w:rsidR="00EF7C86" w:rsidRPr="000B0449" w14:paraId="64D91903" w14:textId="77777777" w:rsidTr="001E64C9">
        <w:trPr>
          <w:jc w:val="center"/>
        </w:trPr>
        <w:tc>
          <w:tcPr>
            <w:tcW w:w="1223" w:type="dxa"/>
            <w:tcBorders>
              <w:top w:val="single" w:sz="6" w:space="0" w:color="auto"/>
            </w:tcBorders>
            <w:vAlign w:val="center"/>
          </w:tcPr>
          <w:p w14:paraId="60646A9A" w14:textId="77777777" w:rsidR="00EF7C86" w:rsidRPr="000B0449" w:rsidRDefault="00EF7C86" w:rsidP="00EF7C86">
            <w:pPr>
              <w:ind w:left="276"/>
              <w:rPr>
                <w:szCs w:val="24"/>
              </w:rPr>
            </w:pPr>
            <w:r w:rsidRPr="000B0449">
              <w:rPr>
                <w:szCs w:val="24"/>
              </w:rPr>
              <w:t>PM</w:t>
            </w:r>
          </w:p>
        </w:tc>
        <w:tc>
          <w:tcPr>
            <w:tcW w:w="1822" w:type="dxa"/>
            <w:tcBorders>
              <w:top w:val="single" w:sz="6" w:space="0" w:color="auto"/>
            </w:tcBorders>
            <w:vAlign w:val="center"/>
          </w:tcPr>
          <w:p w14:paraId="075A83DE" w14:textId="4096CFF9" w:rsidR="00EF7C86" w:rsidRPr="00EF7C86" w:rsidRDefault="00EF7C86" w:rsidP="00EF7C86">
            <w:pPr>
              <w:jc w:val="center"/>
              <w:rPr>
                <w:sz w:val="22"/>
                <w:szCs w:val="22"/>
              </w:rPr>
            </w:pPr>
            <w:r w:rsidRPr="00EF7C86">
              <w:rPr>
                <w:sz w:val="22"/>
                <w:szCs w:val="22"/>
              </w:rPr>
              <w:t>97.63</w:t>
            </w:r>
          </w:p>
        </w:tc>
        <w:tc>
          <w:tcPr>
            <w:tcW w:w="1754" w:type="dxa"/>
            <w:tcBorders>
              <w:top w:val="single" w:sz="6" w:space="0" w:color="auto"/>
            </w:tcBorders>
            <w:vAlign w:val="center"/>
          </w:tcPr>
          <w:p w14:paraId="3681A108" w14:textId="6D055B90" w:rsidR="00EF7C86" w:rsidRPr="00EF7C86" w:rsidRDefault="00EF7C86" w:rsidP="00EF7C86">
            <w:pPr>
              <w:jc w:val="center"/>
              <w:rPr>
                <w:sz w:val="22"/>
                <w:szCs w:val="22"/>
              </w:rPr>
            </w:pPr>
            <w:r w:rsidRPr="00EF7C86">
              <w:rPr>
                <w:sz w:val="22"/>
                <w:szCs w:val="22"/>
              </w:rPr>
              <w:t>97.32</w:t>
            </w:r>
          </w:p>
        </w:tc>
        <w:tc>
          <w:tcPr>
            <w:tcW w:w="1612" w:type="dxa"/>
            <w:tcBorders>
              <w:top w:val="single" w:sz="6" w:space="0" w:color="auto"/>
            </w:tcBorders>
            <w:vAlign w:val="bottom"/>
          </w:tcPr>
          <w:p w14:paraId="24D568DF" w14:textId="60FA76CF" w:rsidR="00EF7C86" w:rsidRPr="00EF7C86" w:rsidRDefault="00EF7C86" w:rsidP="00EF7C86">
            <w:pPr>
              <w:jc w:val="center"/>
              <w:rPr>
                <w:sz w:val="22"/>
                <w:szCs w:val="22"/>
              </w:rPr>
            </w:pPr>
            <w:r w:rsidRPr="00EF7C86">
              <w:rPr>
                <w:sz w:val="22"/>
                <w:szCs w:val="22"/>
              </w:rPr>
              <w:t>-0.31</w:t>
            </w:r>
          </w:p>
        </w:tc>
        <w:tc>
          <w:tcPr>
            <w:tcW w:w="1718" w:type="dxa"/>
            <w:tcBorders>
              <w:top w:val="single" w:sz="6" w:space="0" w:color="auto"/>
            </w:tcBorders>
            <w:vAlign w:val="center"/>
          </w:tcPr>
          <w:p w14:paraId="2A24E7B0" w14:textId="77777777" w:rsidR="00EF7C86" w:rsidRPr="000B0449" w:rsidRDefault="00EF7C86" w:rsidP="00EF7C86">
            <w:pPr>
              <w:jc w:val="center"/>
              <w:rPr>
                <w:szCs w:val="24"/>
              </w:rPr>
            </w:pPr>
            <w:r w:rsidRPr="000B0449">
              <w:rPr>
                <w:szCs w:val="24"/>
              </w:rPr>
              <w:t>25</w:t>
            </w:r>
          </w:p>
        </w:tc>
      </w:tr>
      <w:tr w:rsidR="00EF7C86" w:rsidRPr="000B0449" w14:paraId="5BFC8DCD" w14:textId="77777777" w:rsidTr="001E64C9">
        <w:trPr>
          <w:jc w:val="center"/>
        </w:trPr>
        <w:tc>
          <w:tcPr>
            <w:tcW w:w="1223" w:type="dxa"/>
            <w:vAlign w:val="center"/>
          </w:tcPr>
          <w:p w14:paraId="77A16C44" w14:textId="77777777" w:rsidR="00EF7C86" w:rsidRPr="000B0449" w:rsidRDefault="00EF7C86" w:rsidP="00EF7C86">
            <w:pPr>
              <w:ind w:left="276"/>
              <w:rPr>
                <w:szCs w:val="24"/>
              </w:rPr>
            </w:pPr>
            <w:r w:rsidRPr="000B0449">
              <w:rPr>
                <w:szCs w:val="24"/>
              </w:rPr>
              <w:t>PM</w:t>
            </w:r>
            <w:r w:rsidRPr="000B0449">
              <w:rPr>
                <w:szCs w:val="24"/>
                <w:vertAlign w:val="subscript"/>
              </w:rPr>
              <w:t>10</w:t>
            </w:r>
          </w:p>
        </w:tc>
        <w:tc>
          <w:tcPr>
            <w:tcW w:w="1822" w:type="dxa"/>
            <w:vAlign w:val="center"/>
          </w:tcPr>
          <w:p w14:paraId="06C3674A" w14:textId="0984E24B" w:rsidR="00EF7C86" w:rsidRPr="00EF7C86" w:rsidRDefault="00EF7C86" w:rsidP="00EF7C86">
            <w:pPr>
              <w:jc w:val="center"/>
              <w:rPr>
                <w:sz w:val="22"/>
                <w:szCs w:val="22"/>
              </w:rPr>
            </w:pPr>
            <w:r w:rsidRPr="00EF7C86">
              <w:rPr>
                <w:sz w:val="22"/>
                <w:szCs w:val="22"/>
              </w:rPr>
              <w:t>179.58</w:t>
            </w:r>
          </w:p>
        </w:tc>
        <w:tc>
          <w:tcPr>
            <w:tcW w:w="1754" w:type="dxa"/>
            <w:vAlign w:val="center"/>
          </w:tcPr>
          <w:p w14:paraId="115E3BA8" w14:textId="316566FF" w:rsidR="00EF7C86" w:rsidRPr="00EF7C86" w:rsidRDefault="00EF7C86" w:rsidP="00EF7C86">
            <w:pPr>
              <w:jc w:val="center"/>
              <w:rPr>
                <w:sz w:val="22"/>
                <w:szCs w:val="22"/>
              </w:rPr>
            </w:pPr>
            <w:r w:rsidRPr="00EF7C86">
              <w:rPr>
                <w:sz w:val="22"/>
                <w:szCs w:val="22"/>
              </w:rPr>
              <w:t>179.54</w:t>
            </w:r>
          </w:p>
        </w:tc>
        <w:tc>
          <w:tcPr>
            <w:tcW w:w="1612" w:type="dxa"/>
            <w:vAlign w:val="bottom"/>
          </w:tcPr>
          <w:p w14:paraId="50F01CEC" w14:textId="169D6622" w:rsidR="00EF7C86" w:rsidRPr="00EF7C86" w:rsidRDefault="00EF7C86" w:rsidP="00EF7C86">
            <w:pPr>
              <w:jc w:val="center"/>
              <w:rPr>
                <w:sz w:val="22"/>
                <w:szCs w:val="22"/>
              </w:rPr>
            </w:pPr>
            <w:r w:rsidRPr="00EF7C86">
              <w:rPr>
                <w:sz w:val="22"/>
                <w:szCs w:val="22"/>
              </w:rPr>
              <w:t>-0.04</w:t>
            </w:r>
          </w:p>
        </w:tc>
        <w:tc>
          <w:tcPr>
            <w:tcW w:w="1718" w:type="dxa"/>
            <w:vAlign w:val="center"/>
          </w:tcPr>
          <w:p w14:paraId="2692776E" w14:textId="77777777" w:rsidR="00EF7C86" w:rsidRPr="000B0449" w:rsidRDefault="00EF7C86" w:rsidP="00EF7C86">
            <w:pPr>
              <w:jc w:val="center"/>
              <w:rPr>
                <w:szCs w:val="24"/>
              </w:rPr>
            </w:pPr>
            <w:r w:rsidRPr="000B0449">
              <w:rPr>
                <w:szCs w:val="24"/>
              </w:rPr>
              <w:t>15</w:t>
            </w:r>
          </w:p>
        </w:tc>
      </w:tr>
      <w:tr w:rsidR="00EF7C86" w:rsidRPr="000B0449" w14:paraId="4BE87A8C" w14:textId="77777777" w:rsidTr="001E64C9">
        <w:trPr>
          <w:jc w:val="center"/>
        </w:trPr>
        <w:tc>
          <w:tcPr>
            <w:tcW w:w="1223" w:type="dxa"/>
            <w:vAlign w:val="center"/>
          </w:tcPr>
          <w:p w14:paraId="02D8DF52" w14:textId="77777777" w:rsidR="00EF7C86" w:rsidRPr="000B0449" w:rsidRDefault="00EF7C86" w:rsidP="00EF7C86">
            <w:pPr>
              <w:ind w:left="276"/>
              <w:rPr>
                <w:szCs w:val="24"/>
              </w:rPr>
            </w:pPr>
            <w:r w:rsidRPr="000B0449">
              <w:rPr>
                <w:szCs w:val="24"/>
              </w:rPr>
              <w:t>PM</w:t>
            </w:r>
            <w:r w:rsidRPr="000B0449">
              <w:rPr>
                <w:sz w:val="22"/>
                <w:szCs w:val="24"/>
                <w:vertAlign w:val="subscript"/>
              </w:rPr>
              <w:t>2.5</w:t>
            </w:r>
          </w:p>
        </w:tc>
        <w:tc>
          <w:tcPr>
            <w:tcW w:w="1822" w:type="dxa"/>
            <w:vAlign w:val="center"/>
          </w:tcPr>
          <w:p w14:paraId="54FC0B34" w14:textId="4D258074" w:rsidR="00EF7C86" w:rsidRPr="00EF7C86" w:rsidRDefault="00EF7C86" w:rsidP="00EF7C86">
            <w:pPr>
              <w:jc w:val="center"/>
              <w:rPr>
                <w:sz w:val="22"/>
                <w:szCs w:val="22"/>
              </w:rPr>
            </w:pPr>
            <w:r w:rsidRPr="00EF7C86">
              <w:rPr>
                <w:sz w:val="22"/>
                <w:szCs w:val="22"/>
              </w:rPr>
              <w:t>164.66</w:t>
            </w:r>
          </w:p>
        </w:tc>
        <w:tc>
          <w:tcPr>
            <w:tcW w:w="1754" w:type="dxa"/>
            <w:vAlign w:val="center"/>
          </w:tcPr>
          <w:p w14:paraId="6446AF7E" w14:textId="33998117" w:rsidR="00EF7C86" w:rsidRPr="00EF7C86" w:rsidRDefault="00EF7C86" w:rsidP="00EF7C86">
            <w:pPr>
              <w:jc w:val="center"/>
              <w:rPr>
                <w:sz w:val="22"/>
                <w:szCs w:val="22"/>
              </w:rPr>
            </w:pPr>
            <w:r w:rsidRPr="00EF7C86">
              <w:rPr>
                <w:sz w:val="22"/>
                <w:szCs w:val="22"/>
              </w:rPr>
              <w:t>164.63</w:t>
            </w:r>
          </w:p>
        </w:tc>
        <w:tc>
          <w:tcPr>
            <w:tcW w:w="1612" w:type="dxa"/>
            <w:vAlign w:val="bottom"/>
          </w:tcPr>
          <w:p w14:paraId="2C5292D5" w14:textId="25FB9C6E" w:rsidR="00EF7C86" w:rsidRPr="00EF7C86" w:rsidRDefault="00EF7C86" w:rsidP="00EF7C86">
            <w:pPr>
              <w:jc w:val="center"/>
              <w:rPr>
                <w:sz w:val="22"/>
                <w:szCs w:val="22"/>
              </w:rPr>
            </w:pPr>
            <w:r w:rsidRPr="00EF7C86">
              <w:rPr>
                <w:sz w:val="22"/>
                <w:szCs w:val="22"/>
              </w:rPr>
              <w:t>-0.03</w:t>
            </w:r>
          </w:p>
        </w:tc>
        <w:tc>
          <w:tcPr>
            <w:tcW w:w="1718" w:type="dxa"/>
            <w:vAlign w:val="center"/>
          </w:tcPr>
          <w:p w14:paraId="76D7B284" w14:textId="77777777" w:rsidR="00EF7C86" w:rsidRPr="000B0449" w:rsidRDefault="00EF7C86" w:rsidP="00EF7C86">
            <w:pPr>
              <w:jc w:val="center"/>
              <w:rPr>
                <w:szCs w:val="24"/>
              </w:rPr>
            </w:pPr>
            <w:r w:rsidRPr="000B0449">
              <w:rPr>
                <w:szCs w:val="24"/>
              </w:rPr>
              <w:t>10</w:t>
            </w:r>
          </w:p>
        </w:tc>
      </w:tr>
      <w:tr w:rsidR="00EF7C86" w:rsidRPr="000B0449" w14:paraId="1D2C4A3B" w14:textId="77777777" w:rsidTr="001E64C9">
        <w:trPr>
          <w:jc w:val="center"/>
        </w:trPr>
        <w:tc>
          <w:tcPr>
            <w:tcW w:w="1223" w:type="dxa"/>
            <w:vAlign w:val="center"/>
          </w:tcPr>
          <w:p w14:paraId="30B22BCB" w14:textId="77777777" w:rsidR="00EF7C86" w:rsidRPr="000B0449" w:rsidRDefault="00EF7C86" w:rsidP="00EF7C86">
            <w:pPr>
              <w:ind w:left="276"/>
              <w:rPr>
                <w:szCs w:val="24"/>
              </w:rPr>
            </w:pPr>
            <w:r w:rsidRPr="000B0449">
              <w:rPr>
                <w:szCs w:val="24"/>
              </w:rPr>
              <w:t>SO</w:t>
            </w:r>
            <w:r w:rsidRPr="000B0449">
              <w:rPr>
                <w:szCs w:val="24"/>
                <w:vertAlign w:val="subscript"/>
              </w:rPr>
              <w:t>2</w:t>
            </w:r>
          </w:p>
        </w:tc>
        <w:tc>
          <w:tcPr>
            <w:tcW w:w="1822" w:type="dxa"/>
            <w:vAlign w:val="center"/>
          </w:tcPr>
          <w:p w14:paraId="3E46E9E8" w14:textId="702B2A6E" w:rsidR="00EF7C86" w:rsidRPr="00EF7C86" w:rsidRDefault="00EF7C86" w:rsidP="00EF7C86">
            <w:pPr>
              <w:jc w:val="center"/>
              <w:rPr>
                <w:sz w:val="22"/>
                <w:szCs w:val="22"/>
              </w:rPr>
            </w:pPr>
            <w:r w:rsidRPr="00EF7C86">
              <w:rPr>
                <w:sz w:val="22"/>
                <w:szCs w:val="22"/>
              </w:rPr>
              <w:t>874.32</w:t>
            </w:r>
          </w:p>
        </w:tc>
        <w:tc>
          <w:tcPr>
            <w:tcW w:w="1754" w:type="dxa"/>
            <w:vAlign w:val="center"/>
          </w:tcPr>
          <w:p w14:paraId="418836FB" w14:textId="1AACC7DE" w:rsidR="00EF7C86" w:rsidRPr="00EF7C86" w:rsidRDefault="00EF7C86" w:rsidP="00EF7C86">
            <w:pPr>
              <w:jc w:val="center"/>
              <w:rPr>
                <w:sz w:val="22"/>
                <w:szCs w:val="22"/>
              </w:rPr>
            </w:pPr>
            <w:r w:rsidRPr="00EF7C86">
              <w:rPr>
                <w:sz w:val="22"/>
                <w:szCs w:val="22"/>
              </w:rPr>
              <w:t>868.25</w:t>
            </w:r>
          </w:p>
        </w:tc>
        <w:tc>
          <w:tcPr>
            <w:tcW w:w="1612" w:type="dxa"/>
            <w:vAlign w:val="bottom"/>
          </w:tcPr>
          <w:p w14:paraId="49F120ED" w14:textId="443714AB" w:rsidR="00EF7C86" w:rsidRPr="00EF7C86" w:rsidRDefault="00EF7C86" w:rsidP="00EF7C86">
            <w:pPr>
              <w:jc w:val="center"/>
              <w:rPr>
                <w:sz w:val="22"/>
                <w:szCs w:val="22"/>
              </w:rPr>
            </w:pPr>
            <w:r w:rsidRPr="00EF7C86">
              <w:rPr>
                <w:sz w:val="22"/>
                <w:szCs w:val="22"/>
              </w:rPr>
              <w:t>-6.07</w:t>
            </w:r>
          </w:p>
        </w:tc>
        <w:tc>
          <w:tcPr>
            <w:tcW w:w="1718" w:type="dxa"/>
            <w:vAlign w:val="center"/>
          </w:tcPr>
          <w:p w14:paraId="4289025C" w14:textId="77777777" w:rsidR="00EF7C86" w:rsidRPr="000B0449" w:rsidRDefault="00EF7C86" w:rsidP="00EF7C86">
            <w:pPr>
              <w:jc w:val="center"/>
              <w:rPr>
                <w:szCs w:val="24"/>
              </w:rPr>
            </w:pPr>
            <w:r w:rsidRPr="000B0449">
              <w:rPr>
                <w:szCs w:val="24"/>
              </w:rPr>
              <w:t>40</w:t>
            </w:r>
          </w:p>
        </w:tc>
      </w:tr>
      <w:tr w:rsidR="00EF7C86" w:rsidRPr="000B0449" w14:paraId="58E68ED7" w14:textId="77777777" w:rsidTr="001E64C9">
        <w:trPr>
          <w:jc w:val="center"/>
        </w:trPr>
        <w:tc>
          <w:tcPr>
            <w:tcW w:w="1223" w:type="dxa"/>
            <w:vAlign w:val="center"/>
          </w:tcPr>
          <w:p w14:paraId="472885DC" w14:textId="77777777" w:rsidR="00EF7C86" w:rsidRPr="000B0449" w:rsidRDefault="00EF7C86" w:rsidP="00EF7C86">
            <w:pPr>
              <w:ind w:left="276"/>
              <w:rPr>
                <w:szCs w:val="24"/>
              </w:rPr>
            </w:pPr>
            <w:r w:rsidRPr="000B0449">
              <w:rPr>
                <w:szCs w:val="24"/>
              </w:rPr>
              <w:t>NO</w:t>
            </w:r>
            <w:r w:rsidRPr="000B0449">
              <w:rPr>
                <w:szCs w:val="24"/>
                <w:vertAlign w:val="subscript"/>
              </w:rPr>
              <w:t>x</w:t>
            </w:r>
          </w:p>
        </w:tc>
        <w:tc>
          <w:tcPr>
            <w:tcW w:w="1822" w:type="dxa"/>
            <w:vAlign w:val="center"/>
          </w:tcPr>
          <w:p w14:paraId="78A42D3F" w14:textId="4907FEB3" w:rsidR="00EF7C86" w:rsidRPr="00EF7C86" w:rsidRDefault="00EF7C86" w:rsidP="00EF7C86">
            <w:pPr>
              <w:jc w:val="center"/>
              <w:rPr>
                <w:sz w:val="22"/>
                <w:szCs w:val="22"/>
              </w:rPr>
            </w:pPr>
            <w:r w:rsidRPr="00EF7C86">
              <w:rPr>
                <w:sz w:val="22"/>
                <w:szCs w:val="22"/>
              </w:rPr>
              <w:t>1573.55</w:t>
            </w:r>
          </w:p>
        </w:tc>
        <w:tc>
          <w:tcPr>
            <w:tcW w:w="1754" w:type="dxa"/>
            <w:vAlign w:val="center"/>
          </w:tcPr>
          <w:p w14:paraId="4D68D268" w14:textId="1C36BCF6" w:rsidR="00EF7C86" w:rsidRPr="00EF7C86" w:rsidRDefault="00EF7C86" w:rsidP="00EF7C86">
            <w:pPr>
              <w:jc w:val="center"/>
              <w:rPr>
                <w:sz w:val="22"/>
                <w:szCs w:val="22"/>
              </w:rPr>
            </w:pPr>
            <w:r w:rsidRPr="00EF7C86">
              <w:rPr>
                <w:sz w:val="22"/>
                <w:szCs w:val="22"/>
              </w:rPr>
              <w:t>1577.18</w:t>
            </w:r>
          </w:p>
        </w:tc>
        <w:tc>
          <w:tcPr>
            <w:tcW w:w="1612" w:type="dxa"/>
            <w:vAlign w:val="bottom"/>
          </w:tcPr>
          <w:p w14:paraId="0504DD8B" w14:textId="51FF253B" w:rsidR="00EF7C86" w:rsidRPr="00EF7C86" w:rsidRDefault="00EF7C86" w:rsidP="00EF7C86">
            <w:pPr>
              <w:jc w:val="center"/>
              <w:rPr>
                <w:sz w:val="22"/>
                <w:szCs w:val="22"/>
              </w:rPr>
            </w:pPr>
            <w:r w:rsidRPr="00EF7C86">
              <w:rPr>
                <w:sz w:val="22"/>
                <w:szCs w:val="22"/>
              </w:rPr>
              <w:t>3.63</w:t>
            </w:r>
          </w:p>
        </w:tc>
        <w:tc>
          <w:tcPr>
            <w:tcW w:w="1718" w:type="dxa"/>
            <w:vAlign w:val="center"/>
          </w:tcPr>
          <w:p w14:paraId="26B3C057" w14:textId="77777777" w:rsidR="00EF7C86" w:rsidRPr="000B0449" w:rsidRDefault="00EF7C86" w:rsidP="00EF7C86">
            <w:pPr>
              <w:jc w:val="center"/>
              <w:rPr>
                <w:szCs w:val="24"/>
              </w:rPr>
            </w:pPr>
            <w:r w:rsidRPr="000B0449">
              <w:rPr>
                <w:szCs w:val="24"/>
              </w:rPr>
              <w:t>40</w:t>
            </w:r>
          </w:p>
        </w:tc>
      </w:tr>
      <w:tr w:rsidR="00EF7C86" w:rsidRPr="000B0449" w14:paraId="2A7501E8" w14:textId="77777777" w:rsidTr="001E64C9">
        <w:trPr>
          <w:jc w:val="center"/>
        </w:trPr>
        <w:tc>
          <w:tcPr>
            <w:tcW w:w="1223" w:type="dxa"/>
            <w:vAlign w:val="center"/>
          </w:tcPr>
          <w:p w14:paraId="2002A1A7" w14:textId="77777777" w:rsidR="00EF7C86" w:rsidRPr="000B0449" w:rsidRDefault="00EF7C86" w:rsidP="00EF7C86">
            <w:pPr>
              <w:ind w:left="276"/>
              <w:rPr>
                <w:szCs w:val="24"/>
              </w:rPr>
            </w:pPr>
            <w:r w:rsidRPr="000B0449">
              <w:rPr>
                <w:szCs w:val="24"/>
              </w:rPr>
              <w:t>CO</w:t>
            </w:r>
          </w:p>
        </w:tc>
        <w:tc>
          <w:tcPr>
            <w:tcW w:w="1822" w:type="dxa"/>
            <w:vAlign w:val="center"/>
          </w:tcPr>
          <w:p w14:paraId="20004B74" w14:textId="2C738F36" w:rsidR="00EF7C86" w:rsidRPr="00EF7C86" w:rsidRDefault="00EF7C86" w:rsidP="00EF7C86">
            <w:pPr>
              <w:jc w:val="center"/>
              <w:rPr>
                <w:sz w:val="22"/>
                <w:szCs w:val="22"/>
              </w:rPr>
            </w:pPr>
            <w:r w:rsidRPr="00EF7C86">
              <w:rPr>
                <w:sz w:val="22"/>
                <w:szCs w:val="22"/>
              </w:rPr>
              <w:t>487.9</w:t>
            </w:r>
          </w:p>
        </w:tc>
        <w:tc>
          <w:tcPr>
            <w:tcW w:w="1754" w:type="dxa"/>
            <w:vAlign w:val="center"/>
          </w:tcPr>
          <w:p w14:paraId="465B5511" w14:textId="717E5FD6" w:rsidR="00EF7C86" w:rsidRPr="00EF7C86" w:rsidRDefault="00EF7C86" w:rsidP="00EF7C86">
            <w:pPr>
              <w:jc w:val="center"/>
              <w:rPr>
                <w:sz w:val="22"/>
                <w:szCs w:val="22"/>
              </w:rPr>
            </w:pPr>
            <w:r w:rsidRPr="00EF7C86">
              <w:rPr>
                <w:sz w:val="22"/>
                <w:szCs w:val="22"/>
              </w:rPr>
              <w:t>491.34</w:t>
            </w:r>
          </w:p>
        </w:tc>
        <w:tc>
          <w:tcPr>
            <w:tcW w:w="1612" w:type="dxa"/>
            <w:vAlign w:val="bottom"/>
          </w:tcPr>
          <w:p w14:paraId="4E8B1E46" w14:textId="04932CBA" w:rsidR="00EF7C86" w:rsidRPr="00EF7C86" w:rsidRDefault="00EF7C86" w:rsidP="00EF7C86">
            <w:pPr>
              <w:jc w:val="center"/>
              <w:rPr>
                <w:sz w:val="22"/>
                <w:szCs w:val="22"/>
              </w:rPr>
            </w:pPr>
            <w:r w:rsidRPr="00EF7C86">
              <w:rPr>
                <w:sz w:val="22"/>
                <w:szCs w:val="22"/>
              </w:rPr>
              <w:t>3.44</w:t>
            </w:r>
          </w:p>
        </w:tc>
        <w:tc>
          <w:tcPr>
            <w:tcW w:w="1718" w:type="dxa"/>
            <w:vAlign w:val="center"/>
          </w:tcPr>
          <w:p w14:paraId="4A1533E7" w14:textId="77777777" w:rsidR="00EF7C86" w:rsidRPr="000B0449" w:rsidRDefault="00EF7C86" w:rsidP="00EF7C86">
            <w:pPr>
              <w:jc w:val="center"/>
              <w:rPr>
                <w:szCs w:val="24"/>
              </w:rPr>
            </w:pPr>
            <w:r w:rsidRPr="000B0449">
              <w:rPr>
                <w:szCs w:val="24"/>
              </w:rPr>
              <w:t>100</w:t>
            </w:r>
          </w:p>
        </w:tc>
      </w:tr>
      <w:tr w:rsidR="00EF7C86" w:rsidRPr="000B0449" w14:paraId="19C89832" w14:textId="77777777" w:rsidTr="001E64C9">
        <w:trPr>
          <w:jc w:val="center"/>
        </w:trPr>
        <w:tc>
          <w:tcPr>
            <w:tcW w:w="1223" w:type="dxa"/>
            <w:vAlign w:val="center"/>
          </w:tcPr>
          <w:p w14:paraId="65D6E4B7" w14:textId="77777777" w:rsidR="00EF7C86" w:rsidRPr="000B0449" w:rsidRDefault="00EF7C86" w:rsidP="00EF7C86">
            <w:pPr>
              <w:ind w:left="276"/>
              <w:rPr>
                <w:szCs w:val="24"/>
              </w:rPr>
            </w:pPr>
            <w:r w:rsidRPr="000B0449">
              <w:rPr>
                <w:szCs w:val="24"/>
              </w:rPr>
              <w:t>VOC</w:t>
            </w:r>
          </w:p>
        </w:tc>
        <w:tc>
          <w:tcPr>
            <w:tcW w:w="1822" w:type="dxa"/>
            <w:vAlign w:val="center"/>
          </w:tcPr>
          <w:p w14:paraId="00112C9B" w14:textId="7010CC18" w:rsidR="00EF7C86" w:rsidRPr="00EF7C86" w:rsidRDefault="00EF7C86" w:rsidP="00EF7C86">
            <w:pPr>
              <w:jc w:val="center"/>
              <w:rPr>
                <w:sz w:val="22"/>
                <w:szCs w:val="22"/>
              </w:rPr>
            </w:pPr>
            <w:r w:rsidRPr="00EF7C86">
              <w:rPr>
                <w:sz w:val="22"/>
                <w:szCs w:val="22"/>
              </w:rPr>
              <w:t>17.69</w:t>
            </w:r>
          </w:p>
        </w:tc>
        <w:tc>
          <w:tcPr>
            <w:tcW w:w="1754" w:type="dxa"/>
            <w:vAlign w:val="center"/>
          </w:tcPr>
          <w:p w14:paraId="2DE8EDE8" w14:textId="7EF26F23" w:rsidR="00EF7C86" w:rsidRPr="00EF7C86" w:rsidRDefault="00EF7C86" w:rsidP="00EF7C86">
            <w:pPr>
              <w:jc w:val="center"/>
              <w:rPr>
                <w:sz w:val="22"/>
                <w:szCs w:val="22"/>
              </w:rPr>
            </w:pPr>
            <w:r w:rsidRPr="00EF7C86">
              <w:rPr>
                <w:sz w:val="22"/>
                <w:szCs w:val="22"/>
              </w:rPr>
              <w:t>17.92</w:t>
            </w:r>
          </w:p>
        </w:tc>
        <w:tc>
          <w:tcPr>
            <w:tcW w:w="1612" w:type="dxa"/>
            <w:vAlign w:val="bottom"/>
          </w:tcPr>
          <w:p w14:paraId="61654E50" w14:textId="11A1D14B" w:rsidR="00EF7C86" w:rsidRPr="00EF7C86" w:rsidRDefault="00EF7C86" w:rsidP="00EF7C86">
            <w:pPr>
              <w:jc w:val="center"/>
              <w:rPr>
                <w:sz w:val="22"/>
                <w:szCs w:val="22"/>
              </w:rPr>
            </w:pPr>
            <w:r w:rsidRPr="00EF7C86">
              <w:rPr>
                <w:sz w:val="22"/>
                <w:szCs w:val="22"/>
              </w:rPr>
              <w:t>0.23</w:t>
            </w:r>
          </w:p>
        </w:tc>
        <w:tc>
          <w:tcPr>
            <w:tcW w:w="1718" w:type="dxa"/>
            <w:vAlign w:val="center"/>
          </w:tcPr>
          <w:p w14:paraId="067A3825" w14:textId="77777777" w:rsidR="00EF7C86" w:rsidRPr="000B0449" w:rsidRDefault="00EF7C86" w:rsidP="00EF7C86">
            <w:pPr>
              <w:jc w:val="center"/>
              <w:rPr>
                <w:szCs w:val="24"/>
              </w:rPr>
            </w:pPr>
            <w:r w:rsidRPr="000B0449">
              <w:rPr>
                <w:szCs w:val="24"/>
              </w:rPr>
              <w:t>40</w:t>
            </w:r>
          </w:p>
        </w:tc>
      </w:tr>
    </w:tbl>
    <w:p w14:paraId="3F8364D8" w14:textId="77777777" w:rsidR="00AB42E2" w:rsidRPr="00391B4D" w:rsidRDefault="00AB42E2" w:rsidP="00AC1BCD">
      <w:pPr>
        <w:ind w:left="720"/>
        <w:rPr>
          <w:szCs w:val="24"/>
        </w:rPr>
      </w:pPr>
    </w:p>
    <w:p w14:paraId="2EC09287" w14:textId="77777777" w:rsidR="00AB42E2" w:rsidRPr="00391B4D" w:rsidRDefault="00AB42E2" w:rsidP="00AC1BCD">
      <w:pPr>
        <w:pStyle w:val="ListParagraph"/>
        <w:numPr>
          <w:ilvl w:val="0"/>
          <w:numId w:val="18"/>
        </w:numPr>
      </w:pPr>
      <w:r w:rsidRPr="00391B4D">
        <w:t>Classification</w:t>
      </w:r>
    </w:p>
    <w:p w14:paraId="2CC219A3" w14:textId="77777777" w:rsidR="00AB42E2" w:rsidRPr="00391B4D" w:rsidRDefault="00AB42E2" w:rsidP="00AC1BCD">
      <w:pPr>
        <w:ind w:left="1080"/>
        <w:rPr>
          <w:szCs w:val="24"/>
        </w:rPr>
      </w:pPr>
    </w:p>
    <w:p w14:paraId="2D5E5ED4" w14:textId="77777777" w:rsidR="0065542B" w:rsidRDefault="00AB42E2" w:rsidP="00AC1BCD">
      <w:pPr>
        <w:ind w:left="1080"/>
        <w:rPr>
          <w:szCs w:val="24"/>
        </w:rPr>
      </w:pPr>
      <w:r w:rsidRPr="00391B4D">
        <w:rPr>
          <w:szCs w:val="24"/>
        </w:rPr>
        <w:t>Since emissions increases do not exceed significant emissions increase levels, this NSR license is determined to be a minor</w:t>
      </w:r>
      <w:r w:rsidRPr="00391B4D">
        <w:rPr>
          <w:b/>
          <w:i/>
          <w:szCs w:val="24"/>
        </w:rPr>
        <w:t xml:space="preserve"> </w:t>
      </w:r>
      <w:r w:rsidRPr="00391B4D">
        <w:rPr>
          <w:szCs w:val="24"/>
        </w:rPr>
        <w:t xml:space="preserve">modification under </w:t>
      </w:r>
      <w:r w:rsidRPr="00391B4D">
        <w:rPr>
          <w:i/>
          <w:szCs w:val="24"/>
        </w:rPr>
        <w:t xml:space="preserve">Minor and Major Source Air Emission License Regulations, </w:t>
      </w:r>
      <w:r w:rsidRPr="00391B4D">
        <w:rPr>
          <w:szCs w:val="24"/>
        </w:rPr>
        <w:t>06</w:t>
      </w:r>
      <w:r w:rsidRPr="00391B4D">
        <w:rPr>
          <w:szCs w:val="24"/>
        </w:rPr>
        <w:noBreakHyphen/>
        <w:t xml:space="preserve">096 C.M.R. ch. 115. </w:t>
      </w:r>
    </w:p>
    <w:p w14:paraId="1868B1FA" w14:textId="77777777" w:rsidR="0065542B" w:rsidRDefault="0065542B" w:rsidP="00AC1BCD">
      <w:pPr>
        <w:ind w:left="1080"/>
        <w:rPr>
          <w:szCs w:val="24"/>
        </w:rPr>
      </w:pPr>
    </w:p>
    <w:p w14:paraId="038077D3" w14:textId="77777777" w:rsidR="0065542B" w:rsidRDefault="0065542B" w:rsidP="00AC1BCD">
      <w:pPr>
        <w:ind w:left="1080"/>
        <w:rPr>
          <w:szCs w:val="24"/>
        </w:rPr>
      </w:pPr>
      <w:bookmarkStart w:id="0" w:name="_Hlk148094978"/>
      <w:r>
        <w:rPr>
          <w:szCs w:val="24"/>
        </w:rPr>
        <w:t xml:space="preserve">This NSR license is </w:t>
      </w:r>
      <w:r w:rsidR="00CD1C03">
        <w:rPr>
          <w:szCs w:val="24"/>
        </w:rPr>
        <w:t xml:space="preserve">not licensing </w:t>
      </w:r>
      <w:r>
        <w:rPr>
          <w:szCs w:val="24"/>
        </w:rPr>
        <w:t>a new major stationary source of an NSR pollutant</w:t>
      </w:r>
      <w:r w:rsidR="00CD1C03">
        <w:rPr>
          <w:szCs w:val="24"/>
        </w:rPr>
        <w:t xml:space="preserve"> that is not greenhouse gases (GHG)</w:t>
      </w:r>
      <w:r>
        <w:rPr>
          <w:szCs w:val="24"/>
        </w:rPr>
        <w:t xml:space="preserve"> nor</w:t>
      </w:r>
      <w:r w:rsidR="00CD1C03">
        <w:rPr>
          <w:szCs w:val="24"/>
        </w:rPr>
        <w:t xml:space="preserve"> is it authorizing</w:t>
      </w:r>
      <w:r>
        <w:rPr>
          <w:szCs w:val="24"/>
        </w:rPr>
        <w:t xml:space="preserve"> a major modification for an NSR pollutant to an existing major stationary source. Therefore, greenhouse gases are not considered subject to regulation in this license pursuant to 40 C.F.R. §</w:t>
      </w:r>
      <w:r w:rsidR="00CD1C03">
        <w:rPr>
          <w:szCs w:val="24"/>
        </w:rPr>
        <w:t>§ </w:t>
      </w:r>
      <w:r>
        <w:rPr>
          <w:szCs w:val="24"/>
        </w:rPr>
        <w:t>51.166(b)(48)</w:t>
      </w:r>
      <w:r w:rsidR="00CD1C03">
        <w:rPr>
          <w:szCs w:val="24"/>
        </w:rPr>
        <w:t>(iii</w:t>
      </w:r>
      <w:r w:rsidR="00653465">
        <w:rPr>
          <w:szCs w:val="24"/>
        </w:rPr>
        <w:t xml:space="preserve"> - </w:t>
      </w:r>
      <w:r>
        <w:rPr>
          <w:szCs w:val="24"/>
        </w:rPr>
        <w:t>iv).</w:t>
      </w:r>
    </w:p>
    <w:bookmarkEnd w:id="0"/>
    <w:p w14:paraId="72818F60" w14:textId="77777777" w:rsidR="0065542B" w:rsidRDefault="0065542B" w:rsidP="00AC1BCD">
      <w:pPr>
        <w:ind w:left="1080"/>
        <w:rPr>
          <w:szCs w:val="24"/>
        </w:rPr>
      </w:pPr>
    </w:p>
    <w:p w14:paraId="3F9D2181" w14:textId="542E769D" w:rsidR="00AB42E2" w:rsidRPr="003846B5" w:rsidRDefault="00AB42E2" w:rsidP="00507B95">
      <w:pPr>
        <w:ind w:left="1080"/>
        <w:rPr>
          <w:szCs w:val="24"/>
        </w:rPr>
      </w:pPr>
      <w:r w:rsidRPr="00391B4D">
        <w:rPr>
          <w:szCs w:val="24"/>
        </w:rPr>
        <w:t xml:space="preserve">An application to incorporate the </w:t>
      </w:r>
      <w:r w:rsidR="004559E8">
        <w:rPr>
          <w:szCs w:val="24"/>
        </w:rPr>
        <w:t>terms and conditions</w:t>
      </w:r>
      <w:r w:rsidRPr="00391B4D">
        <w:rPr>
          <w:szCs w:val="24"/>
        </w:rPr>
        <w:t xml:space="preserve"> of this NSR license into the Part</w:t>
      </w:r>
      <w:r w:rsidR="004559E8">
        <w:rPr>
          <w:szCs w:val="24"/>
        </w:rPr>
        <w:t> </w:t>
      </w:r>
      <w:r w:rsidRPr="00391B4D">
        <w:rPr>
          <w:szCs w:val="24"/>
        </w:rPr>
        <w:t xml:space="preserve">70 air emission license shall be submitted no later than 12 months from </w:t>
      </w:r>
      <w:r w:rsidR="00E36A5D">
        <w:rPr>
          <w:szCs w:val="24"/>
        </w:rPr>
        <w:t>the initial firing of natural gas in</w:t>
      </w:r>
      <w:r w:rsidR="00507B95" w:rsidRPr="00507B95">
        <w:rPr>
          <w:szCs w:val="24"/>
        </w:rPr>
        <w:t xml:space="preserve"> Recovery Boiler C, </w:t>
      </w:r>
      <w:r w:rsidR="00E36A5D">
        <w:rPr>
          <w:szCs w:val="24"/>
        </w:rPr>
        <w:t xml:space="preserve">or </w:t>
      </w:r>
      <w:r w:rsidR="00507B95" w:rsidRPr="00507B95">
        <w:rPr>
          <w:szCs w:val="24"/>
        </w:rPr>
        <w:t xml:space="preserve">Cogen Boilers #6 </w:t>
      </w:r>
      <w:r w:rsidR="00E36A5D">
        <w:rPr>
          <w:szCs w:val="24"/>
        </w:rPr>
        <w:t xml:space="preserve">or </w:t>
      </w:r>
      <w:r w:rsidR="00507B95" w:rsidRPr="00507B95">
        <w:rPr>
          <w:szCs w:val="24"/>
        </w:rPr>
        <w:t xml:space="preserve">#7 to </w:t>
      </w:r>
      <w:r w:rsidR="008E78F9">
        <w:rPr>
          <w:szCs w:val="24"/>
        </w:rPr>
        <w:t xml:space="preserve">additionally </w:t>
      </w:r>
      <w:r w:rsidR="00507B95" w:rsidRPr="00507B95">
        <w:rPr>
          <w:szCs w:val="24"/>
        </w:rPr>
        <w:t>fire natural gas</w:t>
      </w:r>
      <w:r w:rsidRPr="00507B95">
        <w:rPr>
          <w:szCs w:val="24"/>
        </w:rPr>
        <w:t>.</w:t>
      </w:r>
    </w:p>
    <w:p w14:paraId="12689B8F" w14:textId="77777777" w:rsidR="00E72AEC" w:rsidRPr="000B0449" w:rsidRDefault="00E72AEC" w:rsidP="00AC1BCD">
      <w:pPr>
        <w:ind w:left="1080"/>
        <w:rPr>
          <w:szCs w:val="24"/>
        </w:rPr>
      </w:pPr>
    </w:p>
    <w:p w14:paraId="5FBFE43D" w14:textId="77777777" w:rsidR="00793874" w:rsidRPr="001F32C2" w:rsidRDefault="00793874" w:rsidP="00AC1BCD">
      <w:pPr>
        <w:pStyle w:val="Heading2"/>
        <w:numPr>
          <w:ilvl w:val="0"/>
          <w:numId w:val="8"/>
        </w:numPr>
        <w:ind w:left="360"/>
      </w:pPr>
      <w:r w:rsidRPr="001F32C2">
        <w:t xml:space="preserve">BEST PRACTICAL </w:t>
      </w:r>
      <w:r w:rsidRPr="0023258F">
        <w:t>TREATMENT</w:t>
      </w:r>
      <w:r w:rsidRPr="001F32C2">
        <w:t xml:space="preserve"> (BPT)</w:t>
      </w:r>
    </w:p>
    <w:p w14:paraId="5FA3F477" w14:textId="77777777" w:rsidR="00793874" w:rsidRPr="001F32C2" w:rsidRDefault="00793874" w:rsidP="00AC1BCD"/>
    <w:p w14:paraId="2FE6602F" w14:textId="77777777" w:rsidR="00793874" w:rsidRPr="001F32C2" w:rsidRDefault="00793874" w:rsidP="00AC1BCD">
      <w:pPr>
        <w:pStyle w:val="Heading3"/>
        <w:numPr>
          <w:ilvl w:val="0"/>
          <w:numId w:val="10"/>
        </w:numPr>
      </w:pPr>
      <w:r w:rsidRPr="001F32C2">
        <w:t>Introduction</w:t>
      </w:r>
    </w:p>
    <w:p w14:paraId="3404B494" w14:textId="77777777" w:rsidR="0086564D" w:rsidRPr="001F32C2" w:rsidRDefault="0086564D" w:rsidP="00AC1BCD">
      <w:pPr>
        <w:pStyle w:val="BodyTextIndent"/>
      </w:pPr>
    </w:p>
    <w:p w14:paraId="339072E0" w14:textId="77777777" w:rsidR="00793874" w:rsidRPr="00FD73BF" w:rsidRDefault="00793874" w:rsidP="00AC1BCD">
      <w:pPr>
        <w:pStyle w:val="BodyTextIndent"/>
      </w:pPr>
      <w:r w:rsidRPr="001F32C2">
        <w:t>In order to receive a license</w:t>
      </w:r>
      <w:r w:rsidR="001F32C2" w:rsidRPr="001F32C2">
        <w:t>,</w:t>
      </w:r>
      <w:r w:rsidRPr="001F32C2">
        <w:t xml:space="preserve"> the applicant must control emissions from each unit </w:t>
      </w:r>
      <w:r w:rsidRPr="00FD73BF">
        <w:t xml:space="preserve">to a level considered by the Department to represent Best Practical Treatment (BPT), as defined in </w:t>
      </w:r>
      <w:r w:rsidR="006B41FC" w:rsidRPr="00FD73BF">
        <w:rPr>
          <w:i/>
        </w:rPr>
        <w:t>Definitions Regulation</w:t>
      </w:r>
      <w:r w:rsidR="006B41FC" w:rsidRPr="00FD73BF">
        <w:t>, 06-096 C</w:t>
      </w:r>
      <w:r w:rsidR="0096590B">
        <w:t>.</w:t>
      </w:r>
      <w:r w:rsidR="006B41FC" w:rsidRPr="00FD73BF">
        <w:t>M</w:t>
      </w:r>
      <w:r w:rsidR="0096590B">
        <w:t>.</w:t>
      </w:r>
      <w:r w:rsidR="006B41FC" w:rsidRPr="00FD73BF">
        <w:t>R</w:t>
      </w:r>
      <w:r w:rsidR="0096590B">
        <w:t>. ch. 100</w:t>
      </w:r>
      <w:r w:rsidRPr="00FD73BF">
        <w:t>. Separate control requirement categories exist for new and existing equipment as well as for those sources located in designated non-attainment areas.</w:t>
      </w:r>
    </w:p>
    <w:p w14:paraId="4793BE70" w14:textId="77777777" w:rsidR="00793874" w:rsidRPr="00FD73BF" w:rsidRDefault="00793874" w:rsidP="00AC1BCD">
      <w:pPr>
        <w:ind w:left="720"/>
      </w:pPr>
    </w:p>
    <w:p w14:paraId="09FD97F9" w14:textId="77777777" w:rsidR="00793874" w:rsidRPr="00FD73BF" w:rsidRDefault="00793874" w:rsidP="00AC1BCD">
      <w:pPr>
        <w:ind w:left="720"/>
        <w:rPr>
          <w:szCs w:val="24"/>
        </w:rPr>
      </w:pPr>
      <w:r w:rsidRPr="00FD73BF">
        <w:rPr>
          <w:szCs w:val="24"/>
        </w:rPr>
        <w:t>BPT for new sources and modifications requires a demonstration that emissions are receiving Best Available Control Technology (BACT), as defined in</w:t>
      </w:r>
      <w:r w:rsidR="006B41FC" w:rsidRPr="00FD73BF">
        <w:rPr>
          <w:szCs w:val="24"/>
        </w:rPr>
        <w:t xml:space="preserve"> 06</w:t>
      </w:r>
      <w:r w:rsidR="001F32C2" w:rsidRPr="00FD73BF">
        <w:rPr>
          <w:szCs w:val="24"/>
        </w:rPr>
        <w:noBreakHyphen/>
      </w:r>
      <w:r w:rsidR="006B41FC" w:rsidRPr="00FD73BF">
        <w:rPr>
          <w:szCs w:val="24"/>
        </w:rPr>
        <w:t>096</w:t>
      </w:r>
      <w:r w:rsidR="001F32C2" w:rsidRPr="00FD73BF">
        <w:rPr>
          <w:szCs w:val="24"/>
        </w:rPr>
        <w:t> </w:t>
      </w:r>
      <w:r w:rsidR="006B41FC" w:rsidRPr="00FD73BF">
        <w:rPr>
          <w:szCs w:val="24"/>
        </w:rPr>
        <w:t>C</w:t>
      </w:r>
      <w:r w:rsidR="0096590B">
        <w:rPr>
          <w:szCs w:val="24"/>
        </w:rPr>
        <w:t>.</w:t>
      </w:r>
      <w:r w:rsidR="006B41FC" w:rsidRPr="00FD73BF">
        <w:rPr>
          <w:szCs w:val="24"/>
        </w:rPr>
        <w:t>M</w:t>
      </w:r>
      <w:r w:rsidR="0096590B">
        <w:rPr>
          <w:szCs w:val="24"/>
        </w:rPr>
        <w:t>.</w:t>
      </w:r>
      <w:r w:rsidR="006B41FC" w:rsidRPr="00FD73BF">
        <w:rPr>
          <w:szCs w:val="24"/>
        </w:rPr>
        <w:t>R</w:t>
      </w:r>
      <w:r w:rsidR="0096590B">
        <w:rPr>
          <w:szCs w:val="24"/>
        </w:rPr>
        <w:t xml:space="preserve">. </w:t>
      </w:r>
      <w:r w:rsidR="0096590B">
        <w:rPr>
          <w:szCs w:val="24"/>
        </w:rPr>
        <w:lastRenderedPageBreak/>
        <w:t>ch.</w:t>
      </w:r>
      <w:r w:rsidR="00A269A5">
        <w:rPr>
          <w:szCs w:val="24"/>
        </w:rPr>
        <w:t> </w:t>
      </w:r>
      <w:r w:rsidR="006B41FC" w:rsidRPr="00FD73BF">
        <w:rPr>
          <w:szCs w:val="24"/>
        </w:rPr>
        <w:t>100</w:t>
      </w:r>
      <w:r w:rsidRPr="00FD73BF">
        <w:rPr>
          <w:szCs w:val="24"/>
        </w:rPr>
        <w:t>. BACT is a top-down approach to selecting air emission controls considering economic, environmental</w:t>
      </w:r>
      <w:r w:rsidR="00A56A3A">
        <w:rPr>
          <w:szCs w:val="24"/>
        </w:rPr>
        <w:t>,</w:t>
      </w:r>
      <w:r w:rsidRPr="00FD73BF">
        <w:rPr>
          <w:szCs w:val="24"/>
        </w:rPr>
        <w:t xml:space="preserve"> and energy impacts.</w:t>
      </w:r>
    </w:p>
    <w:p w14:paraId="60BBD14B" w14:textId="77777777" w:rsidR="00793874" w:rsidRPr="004A4652" w:rsidRDefault="00793874" w:rsidP="00AC1BCD">
      <w:pPr>
        <w:rPr>
          <w:szCs w:val="24"/>
        </w:rPr>
      </w:pPr>
    </w:p>
    <w:p w14:paraId="20592009" w14:textId="2E440256" w:rsidR="001F32C2" w:rsidRPr="00572A96" w:rsidRDefault="00572A96" w:rsidP="00AC1BCD">
      <w:pPr>
        <w:pStyle w:val="Heading3"/>
        <w:rPr>
          <w:b/>
          <w:iCs/>
          <w:szCs w:val="24"/>
        </w:rPr>
      </w:pPr>
      <w:r w:rsidRPr="00AB6C6B">
        <w:rPr>
          <w:b/>
          <w:iCs/>
          <w:szCs w:val="24"/>
        </w:rPr>
        <w:t>Recovery</w:t>
      </w:r>
      <w:r w:rsidRPr="00572A96">
        <w:rPr>
          <w:b/>
          <w:iCs/>
          <w:szCs w:val="24"/>
        </w:rPr>
        <w:t xml:space="preserve"> </w:t>
      </w:r>
      <w:r w:rsidRPr="00AB6C6B">
        <w:rPr>
          <w:b/>
          <w:iCs/>
          <w:szCs w:val="24"/>
        </w:rPr>
        <w:t>Boiler C</w:t>
      </w:r>
    </w:p>
    <w:p w14:paraId="162EC16E" w14:textId="77777777" w:rsidR="00793874" w:rsidRPr="004A4652" w:rsidRDefault="00793874" w:rsidP="00AC1BCD">
      <w:pPr>
        <w:rPr>
          <w:szCs w:val="24"/>
        </w:rPr>
      </w:pPr>
      <w:r w:rsidRPr="004A4652">
        <w:rPr>
          <w:szCs w:val="24"/>
        </w:rPr>
        <w:t xml:space="preserve"> </w:t>
      </w:r>
    </w:p>
    <w:p w14:paraId="1FBF4B4C" w14:textId="77777777" w:rsidR="001F32C2" w:rsidRDefault="009D5783" w:rsidP="00AC1BCD">
      <w:pPr>
        <w:pStyle w:val="ListParagraph"/>
        <w:numPr>
          <w:ilvl w:val="0"/>
          <w:numId w:val="12"/>
        </w:numPr>
      </w:pPr>
      <w:r>
        <w:t>Equipment</w:t>
      </w:r>
      <w:r w:rsidRPr="004A4652">
        <w:t xml:space="preserve"> </w:t>
      </w:r>
      <w:r w:rsidR="001F32C2" w:rsidRPr="004A4652">
        <w:t>Description</w:t>
      </w:r>
    </w:p>
    <w:p w14:paraId="784CF542" w14:textId="77777777" w:rsidR="002E5998" w:rsidRPr="004A4652" w:rsidRDefault="002E5998" w:rsidP="00AC1BCD">
      <w:pPr>
        <w:pStyle w:val="ListParagraph"/>
        <w:ind w:left="1080"/>
      </w:pPr>
    </w:p>
    <w:p w14:paraId="1FB16B92" w14:textId="4AD1F736" w:rsidR="002E5998" w:rsidRPr="004250B0" w:rsidRDefault="002E5998" w:rsidP="00AC1BCD">
      <w:pPr>
        <w:pStyle w:val="ListParagraph"/>
        <w:ind w:left="1080"/>
      </w:pPr>
      <w:r w:rsidRPr="004250B0">
        <w:t>R</w:t>
      </w:r>
      <w:r>
        <w:t xml:space="preserve">ecovery Boiler </w:t>
      </w:r>
      <w:r w:rsidRPr="004250B0">
        <w:t>C is a Babcock and Wilcox low odor design boiler used by NDP to recover pulping chemicals and produce steam. The unit has the capacity to fire 4.4</w:t>
      </w:r>
      <w:r w:rsidR="004559E8">
        <w:t> </w:t>
      </w:r>
      <w:r w:rsidRPr="004250B0">
        <w:t xml:space="preserve">million pounds (MMlb) of dry black liquor solids per day or 759 MMBtu/hour of fuel oil. Emissions exit through a 290-foot </w:t>
      </w:r>
      <w:r w:rsidR="0094251D">
        <w:t>above ground level (</w:t>
      </w:r>
      <w:r w:rsidRPr="004250B0">
        <w:t>AGL</w:t>
      </w:r>
      <w:r w:rsidR="0094251D">
        <w:t>)</w:t>
      </w:r>
      <w:r w:rsidRPr="004250B0">
        <w:t xml:space="preserve"> stack.</w:t>
      </w:r>
    </w:p>
    <w:p w14:paraId="74788D23" w14:textId="77777777" w:rsidR="002E5998" w:rsidRPr="002E5998" w:rsidRDefault="002E5998" w:rsidP="00AC1BCD">
      <w:pPr>
        <w:pStyle w:val="ListParagraph"/>
        <w:ind w:left="1080"/>
        <w:rPr>
          <w:sz w:val="16"/>
          <w:szCs w:val="16"/>
        </w:rPr>
      </w:pPr>
    </w:p>
    <w:p w14:paraId="4FCB7465" w14:textId="47E40500" w:rsidR="002E5998" w:rsidRPr="002E5998" w:rsidRDefault="002E5998" w:rsidP="00AC1BCD">
      <w:pPr>
        <w:pStyle w:val="ListParagraph"/>
        <w:ind w:left="1080"/>
        <w:rPr>
          <w:iCs/>
        </w:rPr>
      </w:pPr>
      <w:r w:rsidRPr="004250B0">
        <w:t>R</w:t>
      </w:r>
      <w:r>
        <w:t xml:space="preserve">ecovery Boiler </w:t>
      </w:r>
      <w:r w:rsidRPr="004250B0">
        <w:t>C</w:t>
      </w:r>
      <w:r w:rsidRPr="002E5998">
        <w:rPr>
          <w:iCs/>
        </w:rPr>
        <w:t>’s primary fuel is black liquor, the liquid</w:t>
      </w:r>
      <w:r w:rsidR="0094251D">
        <w:rPr>
          <w:iCs/>
        </w:rPr>
        <w:t xml:space="preserve"> containing dissolved wood residue and pulping chemicals</w:t>
      </w:r>
      <w:r w:rsidRPr="002E5998">
        <w:rPr>
          <w:iCs/>
        </w:rPr>
        <w:t xml:space="preserve"> from the digesters after pulping of wood chips. In </w:t>
      </w:r>
      <w:r w:rsidRPr="004250B0">
        <w:t>R</w:t>
      </w:r>
      <w:r>
        <w:t xml:space="preserve">ecovery Boiler </w:t>
      </w:r>
      <w:r w:rsidRPr="004250B0">
        <w:t>C</w:t>
      </w:r>
      <w:r w:rsidRPr="002E5998">
        <w:rPr>
          <w:iCs/>
        </w:rPr>
        <w:t xml:space="preserve">, inorganic chemicals in the black liquor are recovered in molten form, and organic constituents of the black liquor are combusted, supplying heat for steam generation. </w:t>
      </w:r>
    </w:p>
    <w:p w14:paraId="4B3D2A1F" w14:textId="77777777" w:rsidR="002E5998" w:rsidRPr="002E5998" w:rsidRDefault="002E5998" w:rsidP="00AC1BCD">
      <w:pPr>
        <w:pStyle w:val="ListParagraph"/>
        <w:ind w:left="1080"/>
        <w:rPr>
          <w:iCs/>
        </w:rPr>
      </w:pPr>
    </w:p>
    <w:p w14:paraId="0485C287" w14:textId="5D229EA2" w:rsidR="002E5998" w:rsidRPr="002E5998" w:rsidRDefault="002E5998" w:rsidP="00AC1BCD">
      <w:pPr>
        <w:pStyle w:val="ListParagraph"/>
        <w:ind w:left="1080"/>
        <w:rPr>
          <w:iCs/>
        </w:rPr>
      </w:pPr>
      <w:r w:rsidRPr="004250B0">
        <w:t>NDP fires fuel oil</w:t>
      </w:r>
      <w:r>
        <w:t xml:space="preserve">, </w:t>
      </w:r>
      <w:r w:rsidRPr="002E5998">
        <w:rPr>
          <w:iCs/>
        </w:rPr>
        <w:t>specification waste oil, and black liquor soap</w:t>
      </w:r>
      <w:r w:rsidRPr="004250B0">
        <w:t xml:space="preserve"> as auxiliary fuel</w:t>
      </w:r>
      <w:r>
        <w:t>s</w:t>
      </w:r>
      <w:r w:rsidRPr="004250B0">
        <w:t xml:space="preserve">. Typically, fuel oil is used only during startups, shutdowns, and to stabilize boiler operation. </w:t>
      </w:r>
      <w:r>
        <w:rPr>
          <w:iCs/>
        </w:rPr>
        <w:t>With this modification, NDP will replace six out of the total 10 fuel oil burners to fire exclusively natural gas. Each natural gas burner will have a rated capacity of 75 MMBtu/hr totaling 450 MMBtu/hr. Four of the existing burners will remain as fuel oil burners to maintain operational flexibility.</w:t>
      </w:r>
    </w:p>
    <w:p w14:paraId="08B8617A" w14:textId="77777777" w:rsidR="001F32C2" w:rsidRPr="00FD73BF" w:rsidRDefault="001F32C2" w:rsidP="00AC1BCD">
      <w:pPr>
        <w:pStyle w:val="ListParagraph"/>
        <w:ind w:left="1080"/>
      </w:pPr>
    </w:p>
    <w:p w14:paraId="53726247" w14:textId="3AADB22E" w:rsidR="008D3E85" w:rsidRPr="006B1CFA" w:rsidRDefault="008D3E85" w:rsidP="00AC1BCD">
      <w:pPr>
        <w:pStyle w:val="Heading5"/>
        <w:numPr>
          <w:ilvl w:val="0"/>
          <w:numId w:val="12"/>
        </w:numPr>
        <w:rPr>
          <w:b w:val="0"/>
          <w:bCs/>
        </w:rPr>
      </w:pPr>
      <w:r w:rsidRPr="006B1CFA">
        <w:rPr>
          <w:b w:val="0"/>
          <w:bCs/>
        </w:rPr>
        <w:t>BACT</w:t>
      </w:r>
      <w:r w:rsidR="006B1CFA" w:rsidRPr="006B1CFA">
        <w:rPr>
          <w:b w:val="0"/>
          <w:bCs/>
        </w:rPr>
        <w:t xml:space="preserve"> and BPT</w:t>
      </w:r>
      <w:r w:rsidRPr="006B1CFA">
        <w:rPr>
          <w:b w:val="0"/>
          <w:bCs/>
        </w:rPr>
        <w:t xml:space="preserve"> Findings</w:t>
      </w:r>
    </w:p>
    <w:p w14:paraId="66312352" w14:textId="77777777" w:rsidR="008D3E85" w:rsidRPr="00D66783" w:rsidRDefault="008D3E85" w:rsidP="00AC1BCD">
      <w:pPr>
        <w:ind w:left="720"/>
        <w:rPr>
          <w:szCs w:val="24"/>
        </w:rPr>
      </w:pPr>
    </w:p>
    <w:p w14:paraId="7E31812B" w14:textId="04B7394A" w:rsidR="00D66783" w:rsidRDefault="00D66783" w:rsidP="00AC1BCD">
      <w:pPr>
        <w:ind w:left="1080"/>
        <w:rPr>
          <w:szCs w:val="24"/>
        </w:rPr>
      </w:pPr>
      <w:r w:rsidRPr="00D66783">
        <w:rPr>
          <w:szCs w:val="24"/>
        </w:rPr>
        <w:t>NDP</w:t>
      </w:r>
      <w:r w:rsidR="008D3E85" w:rsidRPr="00D66783">
        <w:rPr>
          <w:szCs w:val="24"/>
        </w:rPr>
        <w:t xml:space="preserve"> submitted a BACT analysis for control of emissions</w:t>
      </w:r>
      <w:r w:rsidR="003A45DD">
        <w:rPr>
          <w:szCs w:val="24"/>
        </w:rPr>
        <w:t xml:space="preserve"> of CO and VOC</w:t>
      </w:r>
      <w:r w:rsidR="008D3E85" w:rsidRPr="00D66783">
        <w:rPr>
          <w:szCs w:val="24"/>
        </w:rPr>
        <w:t xml:space="preserve"> from </w:t>
      </w:r>
      <w:r w:rsidRPr="00D66783">
        <w:rPr>
          <w:szCs w:val="24"/>
        </w:rPr>
        <w:t>Recovery Boiler C</w:t>
      </w:r>
      <w:r w:rsidR="009D4B91">
        <w:rPr>
          <w:szCs w:val="24"/>
        </w:rPr>
        <w:t xml:space="preserve"> while firing natural gas</w:t>
      </w:r>
      <w:r w:rsidR="008D3E85">
        <w:rPr>
          <w:szCs w:val="24"/>
        </w:rPr>
        <w:t xml:space="preserve">. </w:t>
      </w:r>
      <w:r w:rsidRPr="00A17023">
        <w:rPr>
          <w:bCs/>
          <w:iCs/>
          <w:szCs w:val="24"/>
        </w:rPr>
        <w:t xml:space="preserve">The conversion of six burners </w:t>
      </w:r>
      <w:r w:rsidR="009D4B91">
        <w:rPr>
          <w:bCs/>
          <w:iCs/>
          <w:szCs w:val="24"/>
        </w:rPr>
        <w:t xml:space="preserve">from fuel oil to natural gas </w:t>
      </w:r>
      <w:r w:rsidRPr="00A17023">
        <w:rPr>
          <w:bCs/>
          <w:iCs/>
          <w:szCs w:val="24"/>
        </w:rPr>
        <w:t xml:space="preserve">on Recovery Boiler C results in the net reduction of </w:t>
      </w:r>
      <w:r>
        <w:rPr>
          <w:bCs/>
          <w:iCs/>
          <w:szCs w:val="24"/>
        </w:rPr>
        <w:t>PM, PM</w:t>
      </w:r>
      <w:r w:rsidRPr="00D66783">
        <w:rPr>
          <w:bCs/>
          <w:iCs/>
          <w:szCs w:val="24"/>
          <w:vertAlign w:val="subscript"/>
        </w:rPr>
        <w:t>10</w:t>
      </w:r>
      <w:r>
        <w:rPr>
          <w:bCs/>
          <w:iCs/>
          <w:szCs w:val="24"/>
        </w:rPr>
        <w:t>, PM</w:t>
      </w:r>
      <w:r w:rsidRPr="00D66783">
        <w:rPr>
          <w:bCs/>
          <w:iCs/>
          <w:szCs w:val="24"/>
          <w:vertAlign w:val="subscript"/>
        </w:rPr>
        <w:t>2.5</w:t>
      </w:r>
      <w:r>
        <w:rPr>
          <w:bCs/>
          <w:iCs/>
          <w:szCs w:val="24"/>
        </w:rPr>
        <w:t>, SO</w:t>
      </w:r>
      <w:r w:rsidRPr="00D66783">
        <w:rPr>
          <w:bCs/>
          <w:iCs/>
          <w:szCs w:val="24"/>
          <w:vertAlign w:val="subscript"/>
        </w:rPr>
        <w:t>2</w:t>
      </w:r>
      <w:r>
        <w:rPr>
          <w:bCs/>
          <w:iCs/>
          <w:szCs w:val="24"/>
        </w:rPr>
        <w:t xml:space="preserve">, and </w:t>
      </w:r>
      <w:r w:rsidRPr="00A17023">
        <w:rPr>
          <w:bCs/>
          <w:iCs/>
          <w:szCs w:val="24"/>
        </w:rPr>
        <w:t>NO</w:t>
      </w:r>
      <w:r w:rsidRPr="00D66783">
        <w:rPr>
          <w:bCs/>
          <w:iCs/>
          <w:szCs w:val="24"/>
          <w:vertAlign w:val="subscript"/>
        </w:rPr>
        <w:t>x</w:t>
      </w:r>
      <w:r w:rsidRPr="00A17023">
        <w:rPr>
          <w:bCs/>
          <w:iCs/>
          <w:szCs w:val="24"/>
        </w:rPr>
        <w:t xml:space="preserve"> emissions</w:t>
      </w:r>
      <w:r w:rsidR="0094251D">
        <w:rPr>
          <w:bCs/>
          <w:iCs/>
          <w:szCs w:val="24"/>
        </w:rPr>
        <w:t>;</w:t>
      </w:r>
      <w:r w:rsidR="0094251D" w:rsidRPr="00A17023">
        <w:rPr>
          <w:bCs/>
          <w:iCs/>
          <w:szCs w:val="24"/>
        </w:rPr>
        <w:t xml:space="preserve"> </w:t>
      </w:r>
      <w:r w:rsidRPr="00A17023">
        <w:rPr>
          <w:bCs/>
          <w:iCs/>
          <w:szCs w:val="24"/>
        </w:rPr>
        <w:t>therefore</w:t>
      </w:r>
      <w:r w:rsidR="0094251D">
        <w:rPr>
          <w:bCs/>
          <w:iCs/>
          <w:szCs w:val="24"/>
        </w:rPr>
        <w:t>,</w:t>
      </w:r>
      <w:r w:rsidRPr="00A17023">
        <w:rPr>
          <w:bCs/>
          <w:iCs/>
          <w:szCs w:val="24"/>
        </w:rPr>
        <w:t xml:space="preserve"> this modification must meet the standard of best practical treatment</w:t>
      </w:r>
      <w:r w:rsidR="00A95DC7">
        <w:rPr>
          <w:bCs/>
          <w:iCs/>
          <w:szCs w:val="24"/>
        </w:rPr>
        <w:t xml:space="preserve"> (BPT)</w:t>
      </w:r>
      <w:r w:rsidRPr="00A17023">
        <w:rPr>
          <w:bCs/>
          <w:iCs/>
          <w:szCs w:val="24"/>
        </w:rPr>
        <w:t xml:space="preserve"> as opposed to best available control technology</w:t>
      </w:r>
      <w:r>
        <w:rPr>
          <w:bCs/>
          <w:iCs/>
          <w:szCs w:val="24"/>
        </w:rPr>
        <w:t xml:space="preserve"> </w:t>
      </w:r>
      <w:r w:rsidR="00A95DC7">
        <w:rPr>
          <w:bCs/>
          <w:iCs/>
          <w:szCs w:val="24"/>
        </w:rPr>
        <w:t xml:space="preserve">(BACT) </w:t>
      </w:r>
      <w:r>
        <w:rPr>
          <w:bCs/>
          <w:iCs/>
          <w:szCs w:val="24"/>
        </w:rPr>
        <w:t>for the above listed pollutants</w:t>
      </w:r>
      <w:r w:rsidR="00A95DC7">
        <w:rPr>
          <w:bCs/>
          <w:iCs/>
          <w:szCs w:val="24"/>
        </w:rPr>
        <w:t>, pursuant to 06-096 C.M.R. ch. 115, § 4(A)(4)(d).</w:t>
      </w:r>
    </w:p>
    <w:p w14:paraId="4F993C03" w14:textId="77777777" w:rsidR="008D3E85" w:rsidRDefault="008D3E85" w:rsidP="00AC1BCD">
      <w:pPr>
        <w:ind w:left="1080"/>
        <w:rPr>
          <w:szCs w:val="24"/>
        </w:rPr>
      </w:pPr>
    </w:p>
    <w:p w14:paraId="6385A8F1" w14:textId="77777777" w:rsidR="008D3E85" w:rsidRDefault="008D3E85" w:rsidP="00AC1BCD">
      <w:pPr>
        <w:pStyle w:val="ListParagraph"/>
        <w:numPr>
          <w:ilvl w:val="0"/>
          <w:numId w:val="27"/>
        </w:numPr>
        <w:rPr>
          <w:u w:val="single"/>
        </w:rPr>
      </w:pPr>
      <w:r w:rsidRPr="0074481B">
        <w:rPr>
          <w:u w:val="single"/>
        </w:rPr>
        <w:t>Particulate Matter</w:t>
      </w:r>
      <w:r>
        <w:rPr>
          <w:u w:val="single"/>
        </w:rPr>
        <w:t xml:space="preserve"> (PM, PM</w:t>
      </w:r>
      <w:r>
        <w:rPr>
          <w:u w:val="single"/>
          <w:vertAlign w:val="subscript"/>
        </w:rPr>
        <w:t>10</w:t>
      </w:r>
      <w:r>
        <w:rPr>
          <w:u w:val="single"/>
        </w:rPr>
        <w:t>, PM</w:t>
      </w:r>
      <w:r>
        <w:rPr>
          <w:u w:val="single"/>
          <w:vertAlign w:val="subscript"/>
        </w:rPr>
        <w:t>2.5</w:t>
      </w:r>
      <w:r>
        <w:rPr>
          <w:u w:val="single"/>
        </w:rPr>
        <w:t>)</w:t>
      </w:r>
    </w:p>
    <w:p w14:paraId="73F6D2BB" w14:textId="77777777" w:rsidR="006B1CFA" w:rsidRDefault="006B1CFA" w:rsidP="006B1CFA">
      <w:pPr>
        <w:rPr>
          <w:u w:val="single"/>
        </w:rPr>
      </w:pPr>
    </w:p>
    <w:p w14:paraId="0639F2B6" w14:textId="52A7585A" w:rsidR="006B1CFA" w:rsidRDefault="00A95DC7" w:rsidP="006B1CFA">
      <w:pPr>
        <w:ind w:left="1440"/>
      </w:pPr>
      <w:r w:rsidRPr="006B1CFA">
        <w:t>P</w:t>
      </w:r>
      <w:r>
        <w:t>articulate matter</w:t>
      </w:r>
      <w:r w:rsidRPr="006B1CFA">
        <w:t xml:space="preserve"> </w:t>
      </w:r>
      <w:r w:rsidR="006B1CFA" w:rsidRPr="006B1CFA">
        <w:t>emissions from recovery boilers are primarily sodium salts caused by the</w:t>
      </w:r>
      <w:r w:rsidR="006B1CFA">
        <w:t xml:space="preserve"> </w:t>
      </w:r>
      <w:r w:rsidR="006B1CFA" w:rsidRPr="006B1CFA">
        <w:t>carryover of solids and sublimation and condensation of inorganic chemicals from black liquor. Natural gas</w:t>
      </w:r>
      <w:r w:rsidR="006B1CFA">
        <w:t xml:space="preserve"> </w:t>
      </w:r>
      <w:r w:rsidR="006B1CFA" w:rsidRPr="006B1CFA">
        <w:t>is an inherently clean fuel with low ash content and will have a negligible effect on the overall PM emissions</w:t>
      </w:r>
      <w:r w:rsidR="006B1CFA">
        <w:t xml:space="preserve"> </w:t>
      </w:r>
      <w:r w:rsidR="006B1CFA" w:rsidRPr="006B1CFA">
        <w:t>from the unit. Recovery</w:t>
      </w:r>
      <w:r w:rsidR="006B1CFA">
        <w:t> </w:t>
      </w:r>
      <w:r w:rsidR="006B1CFA" w:rsidRPr="006B1CFA">
        <w:t>Boiler</w:t>
      </w:r>
      <w:r w:rsidR="006B1CFA">
        <w:t> </w:t>
      </w:r>
      <w:r w:rsidR="006B1CFA" w:rsidRPr="006B1CFA">
        <w:t>C is currently equipped with an ESP designed to control PM emissions.</w:t>
      </w:r>
      <w:r w:rsidR="006B1CFA">
        <w:t xml:space="preserve"> </w:t>
      </w:r>
    </w:p>
    <w:p w14:paraId="230CB5C5" w14:textId="77777777" w:rsidR="006B1CFA" w:rsidRDefault="006B1CFA" w:rsidP="006B1CFA">
      <w:pPr>
        <w:ind w:left="1440"/>
      </w:pPr>
    </w:p>
    <w:p w14:paraId="48C5D3C8" w14:textId="43434B95" w:rsidR="004C5008" w:rsidRDefault="006B1CFA" w:rsidP="006B1CFA">
      <w:pPr>
        <w:ind w:left="1440"/>
      </w:pPr>
      <w:r w:rsidRPr="006B1CFA">
        <w:lastRenderedPageBreak/>
        <w:t xml:space="preserve">Possible PM control </w:t>
      </w:r>
      <w:r w:rsidR="00A95DC7">
        <w:t>technologies</w:t>
      </w:r>
      <w:r w:rsidR="00A95DC7" w:rsidRPr="006B1CFA">
        <w:t xml:space="preserve"> </w:t>
      </w:r>
      <w:r w:rsidRPr="006B1CFA">
        <w:t xml:space="preserve">include </w:t>
      </w:r>
      <w:r w:rsidR="00A95DC7">
        <w:t xml:space="preserve">use of </w:t>
      </w:r>
      <w:r w:rsidRPr="006B1CFA">
        <w:t>mechanical collectors, wet scrubbers, ESPs, and baghouses/fabric</w:t>
      </w:r>
      <w:r>
        <w:t xml:space="preserve"> </w:t>
      </w:r>
      <w:r w:rsidRPr="006B1CFA">
        <w:t>filters. Baghouses and fabric filters are not compatible with the high moisture exhaust from recovery boilers.</w:t>
      </w:r>
      <w:r>
        <w:t xml:space="preserve"> </w:t>
      </w:r>
      <w:r w:rsidRPr="006B1CFA">
        <w:t>Mechanical collectors</w:t>
      </w:r>
      <w:r w:rsidR="00A95DC7">
        <w:t>, such as multiclones,</w:t>
      </w:r>
      <w:r w:rsidRPr="006B1CFA">
        <w:t xml:space="preserve"> are not effective in controlling the types of PM emitted from recovery boilers. Wet</w:t>
      </w:r>
      <w:r>
        <w:t xml:space="preserve"> </w:t>
      </w:r>
      <w:r w:rsidRPr="006B1CFA">
        <w:t>scrubbers are technically feasible but less effective than ESPs.</w:t>
      </w:r>
      <w:r>
        <w:t xml:space="preserve"> </w:t>
      </w:r>
    </w:p>
    <w:p w14:paraId="74F90C04" w14:textId="77777777" w:rsidR="004C5008" w:rsidRDefault="004C5008" w:rsidP="006B1CFA">
      <w:pPr>
        <w:ind w:left="1440"/>
      </w:pPr>
    </w:p>
    <w:p w14:paraId="082F3E32" w14:textId="0A583AB0" w:rsidR="006B1CFA" w:rsidRDefault="0056642C" w:rsidP="006B1CFA">
      <w:pPr>
        <w:ind w:left="1440"/>
      </w:pPr>
      <w:r>
        <w:t>The Department finds</w:t>
      </w:r>
      <w:r w:rsidR="00A95DC7" w:rsidRPr="006B1CFA">
        <w:t xml:space="preserve"> </w:t>
      </w:r>
      <w:r w:rsidR="006B1CFA" w:rsidRPr="006B1CFA">
        <w:t xml:space="preserve">that maintaining the existing PM emission limits </w:t>
      </w:r>
      <w:r w:rsidR="00A95DC7">
        <w:t xml:space="preserve">specified in </w:t>
      </w:r>
      <w:r w:rsidR="004C5008">
        <w:t xml:space="preserve">the facility’s Part 70 </w:t>
      </w:r>
      <w:r w:rsidR="00A95DC7">
        <w:t>license</w:t>
      </w:r>
      <w:r w:rsidR="009D4B91">
        <w:t xml:space="preserve"> </w:t>
      </w:r>
      <w:r w:rsidR="006B1CFA" w:rsidRPr="006B1CFA">
        <w:t>and the continued use of an ESP</w:t>
      </w:r>
      <w:r w:rsidR="006B1CFA">
        <w:t xml:space="preserve"> </w:t>
      </w:r>
      <w:r w:rsidR="006B1CFA" w:rsidRPr="006B1CFA">
        <w:t xml:space="preserve">represents BPT for </w:t>
      </w:r>
      <w:r w:rsidR="00A95DC7">
        <w:t>particulate matter</w:t>
      </w:r>
      <w:r w:rsidR="00A95DC7" w:rsidRPr="006B1CFA">
        <w:t xml:space="preserve"> </w:t>
      </w:r>
      <w:r w:rsidR="006B1CFA" w:rsidRPr="006B1CFA">
        <w:t>emissions.</w:t>
      </w:r>
      <w:r w:rsidR="00A95DC7">
        <w:t xml:space="preserve"> </w:t>
      </w:r>
    </w:p>
    <w:p w14:paraId="36F1B826" w14:textId="77777777" w:rsidR="008D3E85" w:rsidRDefault="008D3E85" w:rsidP="00AC1BCD">
      <w:pPr>
        <w:rPr>
          <w:szCs w:val="24"/>
          <w:u w:val="single"/>
        </w:rPr>
      </w:pPr>
    </w:p>
    <w:p w14:paraId="72325C99" w14:textId="77777777" w:rsidR="008D3E85" w:rsidRPr="0074481B" w:rsidRDefault="008D3E85" w:rsidP="00AC1BCD">
      <w:pPr>
        <w:pStyle w:val="ListParagraph"/>
        <w:numPr>
          <w:ilvl w:val="0"/>
          <w:numId w:val="27"/>
        </w:numPr>
        <w:rPr>
          <w:u w:val="single"/>
        </w:rPr>
      </w:pPr>
      <w:r w:rsidRPr="0074481B">
        <w:rPr>
          <w:u w:val="single"/>
        </w:rPr>
        <w:t>Sulfur Dioxide</w:t>
      </w:r>
      <w:r>
        <w:rPr>
          <w:u w:val="single"/>
        </w:rPr>
        <w:t xml:space="preserve"> (SO</w:t>
      </w:r>
      <w:r>
        <w:rPr>
          <w:u w:val="single"/>
          <w:vertAlign w:val="subscript"/>
        </w:rPr>
        <w:t>2</w:t>
      </w:r>
      <w:r>
        <w:rPr>
          <w:u w:val="single"/>
        </w:rPr>
        <w:t>)</w:t>
      </w:r>
    </w:p>
    <w:p w14:paraId="719FF6B7" w14:textId="77777777" w:rsidR="008D3E85" w:rsidRDefault="008D3E85" w:rsidP="00AC1BCD">
      <w:pPr>
        <w:rPr>
          <w:b/>
          <w:i/>
          <w:szCs w:val="24"/>
        </w:rPr>
      </w:pPr>
    </w:p>
    <w:p w14:paraId="405F8D73" w14:textId="55099B10" w:rsidR="00A17023" w:rsidRPr="00A17023" w:rsidRDefault="00A17023" w:rsidP="00D66783">
      <w:pPr>
        <w:ind w:left="1440"/>
        <w:rPr>
          <w:szCs w:val="24"/>
        </w:rPr>
      </w:pPr>
      <w:r w:rsidRPr="00A17023">
        <w:rPr>
          <w:szCs w:val="24"/>
        </w:rPr>
        <w:t>SO</w:t>
      </w:r>
      <w:r w:rsidRPr="00D66783">
        <w:rPr>
          <w:szCs w:val="24"/>
          <w:vertAlign w:val="subscript"/>
        </w:rPr>
        <w:t>2</w:t>
      </w:r>
      <w:r w:rsidRPr="00A17023">
        <w:rPr>
          <w:szCs w:val="24"/>
        </w:rPr>
        <w:t xml:space="preserve"> is formed from the oxidation of sulfur contained in fuel. While black liquor combustion</w:t>
      </w:r>
      <w:r>
        <w:rPr>
          <w:szCs w:val="24"/>
        </w:rPr>
        <w:t xml:space="preserve"> </w:t>
      </w:r>
      <w:r w:rsidRPr="00A17023">
        <w:rPr>
          <w:szCs w:val="24"/>
        </w:rPr>
        <w:t>is the primary source of SO₂ in recovery boiler operations, this analysis focuses specifically on emissions</w:t>
      </w:r>
      <w:r>
        <w:rPr>
          <w:szCs w:val="24"/>
        </w:rPr>
        <w:t xml:space="preserve"> </w:t>
      </w:r>
      <w:r w:rsidRPr="00A17023">
        <w:rPr>
          <w:szCs w:val="24"/>
        </w:rPr>
        <w:t>from natural gas. Natural gas is an inherently low sulfur content fuel resulting in very low SO</w:t>
      </w:r>
      <w:r w:rsidRPr="00D66783">
        <w:rPr>
          <w:szCs w:val="24"/>
          <w:vertAlign w:val="subscript"/>
        </w:rPr>
        <w:t>2</w:t>
      </w:r>
      <w:r w:rsidRPr="00A17023">
        <w:rPr>
          <w:szCs w:val="24"/>
        </w:rPr>
        <w:t xml:space="preserve"> emissions</w:t>
      </w:r>
      <w:r>
        <w:rPr>
          <w:szCs w:val="24"/>
        </w:rPr>
        <w:t xml:space="preserve"> </w:t>
      </w:r>
      <w:r w:rsidRPr="00A17023">
        <w:rPr>
          <w:szCs w:val="24"/>
        </w:rPr>
        <w:t xml:space="preserve">without additional controls. Potential control strategies for sulfur </w:t>
      </w:r>
      <w:r w:rsidR="0056642C">
        <w:rPr>
          <w:szCs w:val="24"/>
        </w:rPr>
        <w:t xml:space="preserve">dioxide </w:t>
      </w:r>
      <w:r w:rsidRPr="00A17023">
        <w:rPr>
          <w:szCs w:val="24"/>
        </w:rPr>
        <w:t>emissions include flue gas</w:t>
      </w:r>
      <w:r>
        <w:rPr>
          <w:szCs w:val="24"/>
        </w:rPr>
        <w:t xml:space="preserve"> </w:t>
      </w:r>
      <w:r w:rsidRPr="00A17023">
        <w:rPr>
          <w:szCs w:val="24"/>
        </w:rPr>
        <w:t>desulfurization (FGD), acid gas scrubbers, the use of alternative fuels, and good combustion practices.</w:t>
      </w:r>
      <w:r>
        <w:rPr>
          <w:szCs w:val="24"/>
        </w:rPr>
        <w:t xml:space="preserve"> </w:t>
      </w:r>
      <w:r w:rsidRPr="00A17023">
        <w:rPr>
          <w:szCs w:val="24"/>
        </w:rPr>
        <w:t>Installation of add-on SO₂ controls (e.g., FGD or acid gas scrubber) are potentially technically feasible but</w:t>
      </w:r>
      <w:r>
        <w:rPr>
          <w:szCs w:val="24"/>
        </w:rPr>
        <w:t xml:space="preserve"> </w:t>
      </w:r>
      <w:r w:rsidRPr="00A17023">
        <w:rPr>
          <w:szCs w:val="24"/>
        </w:rPr>
        <w:t>not economically justified given the negligible SO₂ emission rate from natural gas</w:t>
      </w:r>
      <w:r w:rsidR="0056642C">
        <w:rPr>
          <w:szCs w:val="24"/>
        </w:rPr>
        <w:t xml:space="preserve"> combustion</w:t>
      </w:r>
      <w:r w:rsidRPr="00A17023">
        <w:rPr>
          <w:szCs w:val="24"/>
        </w:rPr>
        <w:t>. Natural gas has the lowest</w:t>
      </w:r>
      <w:r>
        <w:rPr>
          <w:szCs w:val="24"/>
        </w:rPr>
        <w:t xml:space="preserve"> </w:t>
      </w:r>
      <w:r w:rsidRPr="00A17023">
        <w:rPr>
          <w:szCs w:val="24"/>
        </w:rPr>
        <w:t>sulfur content out of the feasible auxiliary fuel options.</w:t>
      </w:r>
      <w:r>
        <w:rPr>
          <w:szCs w:val="24"/>
        </w:rPr>
        <w:t xml:space="preserve"> </w:t>
      </w:r>
      <w:r w:rsidRPr="00A17023">
        <w:rPr>
          <w:szCs w:val="24"/>
        </w:rPr>
        <w:t xml:space="preserve">Therefore, </w:t>
      </w:r>
      <w:r w:rsidR="0056642C">
        <w:rPr>
          <w:szCs w:val="24"/>
        </w:rPr>
        <w:t>the Department finds</w:t>
      </w:r>
      <w:r w:rsidR="0056642C" w:rsidRPr="00A17023">
        <w:rPr>
          <w:szCs w:val="24"/>
        </w:rPr>
        <w:t xml:space="preserve"> </w:t>
      </w:r>
      <w:r w:rsidRPr="00A17023">
        <w:rPr>
          <w:szCs w:val="24"/>
        </w:rPr>
        <w:t>that maintaining the existing SO</w:t>
      </w:r>
      <w:r w:rsidR="006B1CFA" w:rsidRPr="006B1CFA">
        <w:rPr>
          <w:szCs w:val="24"/>
          <w:vertAlign w:val="subscript"/>
        </w:rPr>
        <w:t>2</w:t>
      </w:r>
      <w:r w:rsidRPr="00A17023">
        <w:rPr>
          <w:szCs w:val="24"/>
        </w:rPr>
        <w:t xml:space="preserve"> emission limits</w:t>
      </w:r>
      <w:r w:rsidR="009D4B91">
        <w:rPr>
          <w:szCs w:val="24"/>
        </w:rPr>
        <w:t xml:space="preserve"> listed below</w:t>
      </w:r>
      <w:r w:rsidRPr="00A17023">
        <w:rPr>
          <w:szCs w:val="24"/>
        </w:rPr>
        <w:t xml:space="preserve"> and the use of </w:t>
      </w:r>
      <w:r w:rsidR="0056642C">
        <w:rPr>
          <w:szCs w:val="24"/>
        </w:rPr>
        <w:t>natural gas as an</w:t>
      </w:r>
      <w:r w:rsidRPr="00A17023">
        <w:rPr>
          <w:szCs w:val="24"/>
        </w:rPr>
        <w:t xml:space="preserve"> auxiliary fuel represents BPT for SO</w:t>
      </w:r>
      <w:r w:rsidRPr="00D66783">
        <w:rPr>
          <w:szCs w:val="24"/>
          <w:vertAlign w:val="subscript"/>
        </w:rPr>
        <w:t>2</w:t>
      </w:r>
      <w:r w:rsidRPr="00A17023">
        <w:rPr>
          <w:szCs w:val="24"/>
        </w:rPr>
        <w:t xml:space="preserve"> emissions.</w:t>
      </w:r>
    </w:p>
    <w:p w14:paraId="5C60E142" w14:textId="77777777" w:rsidR="00A17023" w:rsidRDefault="00A17023" w:rsidP="00AC1BCD">
      <w:pPr>
        <w:rPr>
          <w:szCs w:val="24"/>
          <w:u w:val="single"/>
        </w:rPr>
      </w:pPr>
    </w:p>
    <w:p w14:paraId="20C8CF8E" w14:textId="77777777" w:rsidR="008D3E85" w:rsidRPr="00A17023" w:rsidRDefault="008D3E85" w:rsidP="00AC1BCD">
      <w:pPr>
        <w:pStyle w:val="ListParagraph"/>
        <w:numPr>
          <w:ilvl w:val="0"/>
          <w:numId w:val="27"/>
        </w:numPr>
        <w:rPr>
          <w:bCs/>
          <w:iCs/>
          <w:u w:val="single"/>
        </w:rPr>
      </w:pPr>
      <w:r w:rsidRPr="0074481B">
        <w:rPr>
          <w:u w:val="single"/>
        </w:rPr>
        <w:t>Nitrogen Oxides</w:t>
      </w:r>
      <w:r>
        <w:rPr>
          <w:u w:val="single"/>
        </w:rPr>
        <w:t xml:space="preserve"> (NO</w:t>
      </w:r>
      <w:r>
        <w:rPr>
          <w:u w:val="single"/>
          <w:vertAlign w:val="subscript"/>
        </w:rPr>
        <w:t>x</w:t>
      </w:r>
      <w:r>
        <w:rPr>
          <w:u w:val="single"/>
        </w:rPr>
        <w:t>)</w:t>
      </w:r>
    </w:p>
    <w:p w14:paraId="15A07C97" w14:textId="77777777" w:rsidR="00A17023" w:rsidRPr="00A17023" w:rsidRDefault="00A17023" w:rsidP="00AC1BCD">
      <w:pPr>
        <w:ind w:left="1440"/>
        <w:rPr>
          <w:bCs/>
          <w:iCs/>
          <w:szCs w:val="24"/>
        </w:rPr>
      </w:pPr>
    </w:p>
    <w:p w14:paraId="52CF44D7" w14:textId="7C81AB99" w:rsidR="008D3E85" w:rsidRDefault="00A17023" w:rsidP="00A17023">
      <w:pPr>
        <w:ind w:left="1440"/>
        <w:rPr>
          <w:szCs w:val="24"/>
        </w:rPr>
      </w:pPr>
      <w:r w:rsidRPr="00A17023">
        <w:rPr>
          <w:bCs/>
          <w:iCs/>
          <w:szCs w:val="24"/>
        </w:rPr>
        <w:t>The control strategies considered by NDP included</w:t>
      </w:r>
      <w:r w:rsidR="008D3E85">
        <w:rPr>
          <w:szCs w:val="24"/>
        </w:rPr>
        <w:t xml:space="preserve"> Selective Catalytic Reduction (SCR), Selective Non-Catalytic Reduction (SNCR), water/steam injection, flue gas recirculation (FGR), </w:t>
      </w:r>
      <w:r w:rsidR="008D3E85" w:rsidRPr="00A17023">
        <w:rPr>
          <w:szCs w:val="24"/>
        </w:rPr>
        <w:t>low-NO</w:t>
      </w:r>
      <w:r w:rsidR="008D3E85" w:rsidRPr="00A17023">
        <w:rPr>
          <w:szCs w:val="24"/>
          <w:vertAlign w:val="subscript"/>
        </w:rPr>
        <w:t>x</w:t>
      </w:r>
      <w:r w:rsidR="008D3E85" w:rsidRPr="00A17023">
        <w:rPr>
          <w:szCs w:val="24"/>
        </w:rPr>
        <w:t xml:space="preserve"> burners</w:t>
      </w:r>
      <w:r w:rsidR="008D3E85" w:rsidRPr="00B453BA">
        <w:rPr>
          <w:i/>
          <w:iCs/>
          <w:szCs w:val="24"/>
        </w:rPr>
        <w:t>,</w:t>
      </w:r>
      <w:r w:rsidR="008D3E85">
        <w:rPr>
          <w:szCs w:val="24"/>
        </w:rPr>
        <w:t xml:space="preserve"> and use of </w:t>
      </w:r>
      <w:r w:rsidRPr="00A17023">
        <w:rPr>
          <w:szCs w:val="24"/>
        </w:rPr>
        <w:t>proper maintenance, tuning, and combustion air design</w:t>
      </w:r>
      <w:r w:rsidR="008D3E85">
        <w:rPr>
          <w:szCs w:val="24"/>
        </w:rPr>
        <w:t>.</w:t>
      </w:r>
    </w:p>
    <w:p w14:paraId="7490C62B" w14:textId="77777777" w:rsidR="008D3E85" w:rsidRDefault="008D3E85" w:rsidP="00AC1BCD">
      <w:pPr>
        <w:ind w:left="1440"/>
        <w:rPr>
          <w:szCs w:val="24"/>
        </w:rPr>
      </w:pPr>
    </w:p>
    <w:p w14:paraId="51C8D943" w14:textId="14164AC3" w:rsidR="00A17023" w:rsidRDefault="00A17023" w:rsidP="00A17023">
      <w:pPr>
        <w:ind w:left="1440"/>
        <w:rPr>
          <w:szCs w:val="24"/>
        </w:rPr>
      </w:pPr>
      <w:r w:rsidRPr="00A17023">
        <w:rPr>
          <w:szCs w:val="24"/>
        </w:rPr>
        <w:t>SCR systems utilize a catalyst bed and an ammonia-based reagent to convert NO</w:t>
      </w:r>
      <w:r w:rsidRPr="00EB2AA3">
        <w:rPr>
          <w:szCs w:val="24"/>
          <w:vertAlign w:val="subscript"/>
        </w:rPr>
        <w:t>x</w:t>
      </w:r>
      <w:r w:rsidRPr="00A17023">
        <w:rPr>
          <w:szCs w:val="24"/>
        </w:rPr>
        <w:t xml:space="preserve"> into N</w:t>
      </w:r>
      <w:r w:rsidRPr="00EB2AA3">
        <w:rPr>
          <w:szCs w:val="24"/>
          <w:vertAlign w:val="subscript"/>
        </w:rPr>
        <w:t>2</w:t>
      </w:r>
      <w:r w:rsidRPr="00A17023">
        <w:rPr>
          <w:szCs w:val="24"/>
        </w:rPr>
        <w:t>, CO</w:t>
      </w:r>
      <w:r w:rsidRPr="00EB2AA3">
        <w:rPr>
          <w:szCs w:val="24"/>
          <w:vertAlign w:val="subscript"/>
        </w:rPr>
        <w:t>2</w:t>
      </w:r>
      <w:r w:rsidRPr="00A17023">
        <w:rPr>
          <w:szCs w:val="24"/>
        </w:rPr>
        <w:t>, and water.</w:t>
      </w:r>
      <w:r>
        <w:rPr>
          <w:szCs w:val="24"/>
        </w:rPr>
        <w:t xml:space="preserve"> </w:t>
      </w:r>
      <w:r w:rsidRPr="00A17023">
        <w:rPr>
          <w:szCs w:val="24"/>
        </w:rPr>
        <w:t xml:space="preserve">Due to the high PM concentrations in </w:t>
      </w:r>
      <w:r w:rsidR="0056642C">
        <w:rPr>
          <w:szCs w:val="24"/>
        </w:rPr>
        <w:t>Recovery Boiler C’s</w:t>
      </w:r>
      <w:r w:rsidRPr="00A17023">
        <w:rPr>
          <w:szCs w:val="24"/>
        </w:rPr>
        <w:t xml:space="preserve"> exhaust, it is not technically feasible to locate a</w:t>
      </w:r>
      <w:r>
        <w:rPr>
          <w:szCs w:val="24"/>
        </w:rPr>
        <w:t xml:space="preserve"> </w:t>
      </w:r>
      <w:r w:rsidRPr="00A17023">
        <w:rPr>
          <w:szCs w:val="24"/>
        </w:rPr>
        <w:t xml:space="preserve">SCR </w:t>
      </w:r>
      <w:r w:rsidR="0056642C">
        <w:rPr>
          <w:szCs w:val="24"/>
        </w:rPr>
        <w:t xml:space="preserve">system </w:t>
      </w:r>
      <w:r w:rsidRPr="00A17023">
        <w:rPr>
          <w:szCs w:val="24"/>
        </w:rPr>
        <w:t>ahead of PM control due to catalyst poisoning by soluble alkali metals in the gas stream. For SCR</w:t>
      </w:r>
      <w:r>
        <w:rPr>
          <w:szCs w:val="24"/>
        </w:rPr>
        <w:t xml:space="preserve"> </w:t>
      </w:r>
      <w:r w:rsidRPr="00A17023">
        <w:rPr>
          <w:szCs w:val="24"/>
        </w:rPr>
        <w:t xml:space="preserve">installation after the ESP, the gas stream </w:t>
      </w:r>
      <w:r w:rsidR="0056642C">
        <w:rPr>
          <w:szCs w:val="24"/>
        </w:rPr>
        <w:t xml:space="preserve">from the ESP </w:t>
      </w:r>
      <w:r w:rsidRPr="00A17023">
        <w:rPr>
          <w:szCs w:val="24"/>
        </w:rPr>
        <w:t>would be too co</w:t>
      </w:r>
      <w:r w:rsidR="0056642C">
        <w:rPr>
          <w:szCs w:val="24"/>
        </w:rPr>
        <w:t>ol</w:t>
      </w:r>
      <w:r w:rsidRPr="00A17023">
        <w:rPr>
          <w:szCs w:val="24"/>
        </w:rPr>
        <w:t xml:space="preserve"> for effective </w:t>
      </w:r>
      <w:r w:rsidR="0056642C">
        <w:rPr>
          <w:szCs w:val="24"/>
        </w:rPr>
        <w:t xml:space="preserve">SCR </w:t>
      </w:r>
      <w:r w:rsidRPr="00A17023">
        <w:rPr>
          <w:szCs w:val="24"/>
        </w:rPr>
        <w:t>operation and would require</w:t>
      </w:r>
      <w:r>
        <w:rPr>
          <w:szCs w:val="24"/>
        </w:rPr>
        <w:t xml:space="preserve"> </w:t>
      </w:r>
      <w:r w:rsidRPr="00A17023">
        <w:rPr>
          <w:szCs w:val="24"/>
        </w:rPr>
        <w:t>significant reheating of the exhaust stream to raise it to the optimal SCR temperature range. This</w:t>
      </w:r>
      <w:r>
        <w:rPr>
          <w:szCs w:val="24"/>
        </w:rPr>
        <w:t xml:space="preserve"> </w:t>
      </w:r>
      <w:r w:rsidRPr="00A17023">
        <w:rPr>
          <w:szCs w:val="24"/>
        </w:rPr>
        <w:t>supplemental fuel combustion would negate the environmental benefit of the SCR.</w:t>
      </w:r>
      <w:r>
        <w:rPr>
          <w:szCs w:val="24"/>
        </w:rPr>
        <w:t xml:space="preserve"> </w:t>
      </w:r>
    </w:p>
    <w:p w14:paraId="3CAE3C32" w14:textId="77777777" w:rsidR="00A17023" w:rsidRDefault="00A17023" w:rsidP="00A17023">
      <w:pPr>
        <w:ind w:left="1440"/>
        <w:rPr>
          <w:szCs w:val="24"/>
        </w:rPr>
      </w:pPr>
    </w:p>
    <w:p w14:paraId="7204DFA0" w14:textId="2143AF71" w:rsidR="008D3E85" w:rsidRDefault="00A17023" w:rsidP="00A17023">
      <w:pPr>
        <w:ind w:left="1440"/>
        <w:rPr>
          <w:szCs w:val="24"/>
        </w:rPr>
      </w:pPr>
      <w:r w:rsidRPr="00A17023">
        <w:rPr>
          <w:szCs w:val="24"/>
        </w:rPr>
        <w:t>SNCR also utilizes an ammonia-based reagent but does not utilize a catalyst. Instead, the reagent is injected</w:t>
      </w:r>
      <w:r>
        <w:rPr>
          <w:szCs w:val="24"/>
        </w:rPr>
        <w:t xml:space="preserve"> </w:t>
      </w:r>
      <w:r w:rsidRPr="00A17023">
        <w:rPr>
          <w:szCs w:val="24"/>
        </w:rPr>
        <w:t xml:space="preserve">directly into the boiler in a location within the </w:t>
      </w:r>
      <w:r w:rsidRPr="00A17023">
        <w:rPr>
          <w:szCs w:val="24"/>
        </w:rPr>
        <w:lastRenderedPageBreak/>
        <w:t>specific temperature range required for the NO</w:t>
      </w:r>
      <w:r w:rsidRPr="00EB2AA3">
        <w:rPr>
          <w:szCs w:val="24"/>
          <w:vertAlign w:val="subscript"/>
        </w:rPr>
        <w:t>x</w:t>
      </w:r>
      <w:r w:rsidRPr="00A17023">
        <w:rPr>
          <w:szCs w:val="24"/>
        </w:rPr>
        <w:t xml:space="preserve"> reduction</w:t>
      </w:r>
      <w:r>
        <w:rPr>
          <w:szCs w:val="24"/>
        </w:rPr>
        <w:t xml:space="preserve"> </w:t>
      </w:r>
      <w:r w:rsidRPr="00A17023">
        <w:rPr>
          <w:szCs w:val="24"/>
        </w:rPr>
        <w:t>reaction to occur. In recovery boilers, the temperature window needed for effective SNCR is difficult to</w:t>
      </w:r>
      <w:r>
        <w:rPr>
          <w:szCs w:val="24"/>
        </w:rPr>
        <w:t xml:space="preserve"> </w:t>
      </w:r>
      <w:r w:rsidRPr="00A17023">
        <w:rPr>
          <w:szCs w:val="24"/>
        </w:rPr>
        <w:t>locate and maintain due to fluctuating load and liquor quality. In addition, the injection of a reagent into the</w:t>
      </w:r>
      <w:r>
        <w:rPr>
          <w:szCs w:val="24"/>
        </w:rPr>
        <w:t xml:space="preserve"> </w:t>
      </w:r>
      <w:r w:rsidRPr="00A17023">
        <w:rPr>
          <w:szCs w:val="24"/>
        </w:rPr>
        <w:t>recovery boiler risks chemical side reactions with sulfur compounds, potentially forming corrosive</w:t>
      </w:r>
      <w:r>
        <w:rPr>
          <w:szCs w:val="24"/>
        </w:rPr>
        <w:t xml:space="preserve"> </w:t>
      </w:r>
      <w:r w:rsidRPr="00A17023">
        <w:rPr>
          <w:szCs w:val="24"/>
        </w:rPr>
        <w:t>byproducts. These compounds can foul boiler surfaces and interfere with the recovery chemistry, degrading</w:t>
      </w:r>
      <w:r>
        <w:rPr>
          <w:szCs w:val="24"/>
        </w:rPr>
        <w:t xml:space="preserve"> </w:t>
      </w:r>
      <w:r w:rsidRPr="00A17023">
        <w:rPr>
          <w:szCs w:val="24"/>
        </w:rPr>
        <w:t>boiler performance and efficiency. There are no known applications demonstrating effective use of SNCR</w:t>
      </w:r>
      <w:r>
        <w:rPr>
          <w:szCs w:val="24"/>
        </w:rPr>
        <w:t xml:space="preserve"> </w:t>
      </w:r>
      <w:r w:rsidRPr="00A17023">
        <w:rPr>
          <w:szCs w:val="24"/>
        </w:rPr>
        <w:t>systems on recovery boilers.</w:t>
      </w:r>
    </w:p>
    <w:p w14:paraId="5671F0C8" w14:textId="77777777" w:rsidR="00A17023" w:rsidRDefault="00A17023" w:rsidP="00A17023">
      <w:pPr>
        <w:ind w:left="1440"/>
        <w:rPr>
          <w:szCs w:val="24"/>
        </w:rPr>
      </w:pPr>
    </w:p>
    <w:p w14:paraId="3F2B1487" w14:textId="575851AA" w:rsidR="00A17023" w:rsidRDefault="00A17023" w:rsidP="00A17023">
      <w:pPr>
        <w:ind w:left="1440"/>
        <w:rPr>
          <w:szCs w:val="24"/>
        </w:rPr>
      </w:pPr>
      <w:r w:rsidRPr="00A17023">
        <w:rPr>
          <w:szCs w:val="24"/>
        </w:rPr>
        <w:t>FGR is not a viable option for pulp and paper recovery boilers because it would add additional gas volume</w:t>
      </w:r>
      <w:r>
        <w:rPr>
          <w:szCs w:val="24"/>
        </w:rPr>
        <w:t xml:space="preserve"> </w:t>
      </w:r>
      <w:r w:rsidRPr="00A17023">
        <w:rPr>
          <w:szCs w:val="24"/>
        </w:rPr>
        <w:t>in the furnace, increasing velocities and potentially causing more liquor carryover, which would result in</w:t>
      </w:r>
      <w:r>
        <w:rPr>
          <w:szCs w:val="24"/>
        </w:rPr>
        <w:t xml:space="preserve"> </w:t>
      </w:r>
      <w:r w:rsidRPr="00A17023">
        <w:rPr>
          <w:szCs w:val="24"/>
        </w:rPr>
        <w:t>increased fouling of the recovery furnace tubes (NCASI 2006). Ultra-low-NO</w:t>
      </w:r>
      <w:r w:rsidRPr="00EB2AA3">
        <w:rPr>
          <w:szCs w:val="24"/>
          <w:vertAlign w:val="subscript"/>
        </w:rPr>
        <w:t>x</w:t>
      </w:r>
      <w:r w:rsidRPr="00A17023">
        <w:rPr>
          <w:szCs w:val="24"/>
        </w:rPr>
        <w:t xml:space="preserve"> burner designs typically</w:t>
      </w:r>
      <w:r>
        <w:rPr>
          <w:szCs w:val="24"/>
        </w:rPr>
        <w:t xml:space="preserve"> </w:t>
      </w:r>
      <w:r w:rsidRPr="00A17023">
        <w:rPr>
          <w:szCs w:val="24"/>
        </w:rPr>
        <w:t>require larger air delivery systems, which can limit the size of the burner that fits</w:t>
      </w:r>
      <w:r>
        <w:rPr>
          <w:szCs w:val="24"/>
        </w:rPr>
        <w:t xml:space="preserve"> </w:t>
      </w:r>
      <w:r w:rsidRPr="00A17023">
        <w:rPr>
          <w:szCs w:val="24"/>
        </w:rPr>
        <w:t>within the existing footprint</w:t>
      </w:r>
      <w:r>
        <w:rPr>
          <w:szCs w:val="24"/>
        </w:rPr>
        <w:t xml:space="preserve"> </w:t>
      </w:r>
      <w:r w:rsidRPr="00A17023">
        <w:rPr>
          <w:szCs w:val="24"/>
        </w:rPr>
        <w:t xml:space="preserve">of </w:t>
      </w:r>
      <w:r w:rsidR="0056642C">
        <w:rPr>
          <w:szCs w:val="24"/>
        </w:rPr>
        <w:t>Recover Boiler C</w:t>
      </w:r>
      <w:r w:rsidRPr="00A17023">
        <w:rPr>
          <w:szCs w:val="24"/>
        </w:rPr>
        <w:t>’s burner openings and port configuration. An ultra-low-NO</w:t>
      </w:r>
      <w:r w:rsidRPr="00EB2AA3">
        <w:rPr>
          <w:szCs w:val="24"/>
          <w:vertAlign w:val="subscript"/>
        </w:rPr>
        <w:t>x</w:t>
      </w:r>
      <w:r w:rsidRPr="00A17023">
        <w:rPr>
          <w:szCs w:val="24"/>
        </w:rPr>
        <w:t xml:space="preserve"> burner would be too small</w:t>
      </w:r>
      <w:r>
        <w:rPr>
          <w:szCs w:val="24"/>
        </w:rPr>
        <w:t xml:space="preserve"> </w:t>
      </w:r>
      <w:r w:rsidRPr="00A17023">
        <w:rPr>
          <w:szCs w:val="24"/>
        </w:rPr>
        <w:t>to deliver the necessary heat input into the boiler and is therefore not feasible.</w:t>
      </w:r>
      <w:r>
        <w:rPr>
          <w:szCs w:val="24"/>
        </w:rPr>
        <w:t xml:space="preserve"> </w:t>
      </w:r>
    </w:p>
    <w:p w14:paraId="3345B651" w14:textId="77777777" w:rsidR="00A17023" w:rsidRDefault="00A17023" w:rsidP="00A17023">
      <w:pPr>
        <w:ind w:left="1440"/>
        <w:rPr>
          <w:szCs w:val="24"/>
        </w:rPr>
      </w:pPr>
    </w:p>
    <w:p w14:paraId="65AA2F56" w14:textId="147007A3" w:rsidR="00A17023" w:rsidRDefault="00A17023" w:rsidP="00A17023">
      <w:pPr>
        <w:ind w:left="1440"/>
        <w:rPr>
          <w:szCs w:val="24"/>
        </w:rPr>
      </w:pPr>
      <w:r w:rsidRPr="00A17023">
        <w:rPr>
          <w:szCs w:val="24"/>
        </w:rPr>
        <w:t xml:space="preserve">Water/steam injection would not be relevant to kraft recovery furnaces since any injection of </w:t>
      </w:r>
      <w:r>
        <w:rPr>
          <w:szCs w:val="24"/>
        </w:rPr>
        <w:t>w</w:t>
      </w:r>
      <w:r w:rsidRPr="00A17023">
        <w:rPr>
          <w:szCs w:val="24"/>
        </w:rPr>
        <w:t>ater into the</w:t>
      </w:r>
      <w:r>
        <w:rPr>
          <w:szCs w:val="24"/>
        </w:rPr>
        <w:t xml:space="preserve"> </w:t>
      </w:r>
      <w:r w:rsidRPr="00A17023">
        <w:rPr>
          <w:szCs w:val="24"/>
        </w:rPr>
        <w:t>furnace would quench the temperature and disrupt the necessary reducing conditions in the lower furnace,</w:t>
      </w:r>
      <w:r>
        <w:rPr>
          <w:szCs w:val="24"/>
        </w:rPr>
        <w:t xml:space="preserve"> </w:t>
      </w:r>
      <w:r w:rsidRPr="00A17023">
        <w:rPr>
          <w:szCs w:val="24"/>
        </w:rPr>
        <w:t>affecting chemical recovery efficiency. The introduction of any water could also potentially cause dangerous</w:t>
      </w:r>
      <w:r>
        <w:rPr>
          <w:szCs w:val="24"/>
        </w:rPr>
        <w:t xml:space="preserve"> </w:t>
      </w:r>
      <w:r w:rsidRPr="00A17023">
        <w:rPr>
          <w:szCs w:val="24"/>
        </w:rPr>
        <w:t>smelt-water explosions.</w:t>
      </w:r>
    </w:p>
    <w:p w14:paraId="73961735" w14:textId="77777777" w:rsidR="008D3E85" w:rsidRDefault="008D3E85" w:rsidP="00AC1BCD">
      <w:pPr>
        <w:ind w:left="1440"/>
        <w:rPr>
          <w:szCs w:val="24"/>
        </w:rPr>
      </w:pPr>
    </w:p>
    <w:p w14:paraId="166FFD72" w14:textId="364BDB05" w:rsidR="008D3E85" w:rsidRDefault="00A17023" w:rsidP="00A17023">
      <w:pPr>
        <w:ind w:left="1440"/>
        <w:rPr>
          <w:szCs w:val="24"/>
        </w:rPr>
      </w:pPr>
      <w:r w:rsidRPr="00A17023">
        <w:rPr>
          <w:szCs w:val="24"/>
        </w:rPr>
        <w:t>The use of low-NO</w:t>
      </w:r>
      <w:r w:rsidRPr="00EB2AA3">
        <w:rPr>
          <w:szCs w:val="24"/>
          <w:vertAlign w:val="subscript"/>
        </w:rPr>
        <w:t>x</w:t>
      </w:r>
      <w:r w:rsidRPr="00A17023">
        <w:rPr>
          <w:szCs w:val="24"/>
        </w:rPr>
        <w:t xml:space="preserve"> burners along with proper maintenance, tuning, and combustion air design will</w:t>
      </w:r>
      <w:r>
        <w:rPr>
          <w:szCs w:val="24"/>
        </w:rPr>
        <w:t xml:space="preserve"> </w:t>
      </w:r>
      <w:r w:rsidRPr="00A17023">
        <w:rPr>
          <w:szCs w:val="24"/>
        </w:rPr>
        <w:t>effectively minimize NO</w:t>
      </w:r>
      <w:r w:rsidRPr="00EB2AA3">
        <w:rPr>
          <w:szCs w:val="24"/>
          <w:vertAlign w:val="subscript"/>
        </w:rPr>
        <w:t>x</w:t>
      </w:r>
      <w:r w:rsidRPr="00A17023">
        <w:rPr>
          <w:szCs w:val="24"/>
        </w:rPr>
        <w:t xml:space="preserve"> emissions from natural gas combustion in Recovery Boiler C. </w:t>
      </w:r>
      <w:r w:rsidR="0056642C">
        <w:rPr>
          <w:szCs w:val="24"/>
        </w:rPr>
        <w:t>The Department finds</w:t>
      </w:r>
      <w:r w:rsidRPr="00A17023">
        <w:rPr>
          <w:szCs w:val="24"/>
        </w:rPr>
        <w:t xml:space="preserve"> that maintaining the existing NO</w:t>
      </w:r>
      <w:r w:rsidRPr="00EB2AA3">
        <w:rPr>
          <w:szCs w:val="24"/>
          <w:vertAlign w:val="subscript"/>
        </w:rPr>
        <w:t>x</w:t>
      </w:r>
      <w:r w:rsidRPr="00A17023">
        <w:rPr>
          <w:szCs w:val="24"/>
        </w:rPr>
        <w:t xml:space="preserve"> emission limits</w:t>
      </w:r>
      <w:r w:rsidR="009D4B91">
        <w:rPr>
          <w:szCs w:val="24"/>
        </w:rPr>
        <w:t xml:space="preserve"> listed below</w:t>
      </w:r>
      <w:r w:rsidRPr="00A17023">
        <w:rPr>
          <w:szCs w:val="24"/>
        </w:rPr>
        <w:t xml:space="preserve"> in conjunction with these efforts represents</w:t>
      </w:r>
      <w:r>
        <w:rPr>
          <w:szCs w:val="24"/>
        </w:rPr>
        <w:t xml:space="preserve"> </w:t>
      </w:r>
      <w:r w:rsidRPr="00A17023">
        <w:rPr>
          <w:szCs w:val="24"/>
        </w:rPr>
        <w:t>BPT for NO</w:t>
      </w:r>
      <w:r w:rsidRPr="00EB2AA3">
        <w:rPr>
          <w:szCs w:val="24"/>
          <w:vertAlign w:val="subscript"/>
        </w:rPr>
        <w:t>x</w:t>
      </w:r>
      <w:r w:rsidRPr="00A17023">
        <w:rPr>
          <w:szCs w:val="24"/>
        </w:rPr>
        <w:t xml:space="preserve"> emissions.</w:t>
      </w:r>
    </w:p>
    <w:p w14:paraId="12A17AE7" w14:textId="77777777" w:rsidR="00A17023" w:rsidRDefault="00A17023" w:rsidP="00A17023">
      <w:pPr>
        <w:ind w:left="1080"/>
        <w:rPr>
          <w:szCs w:val="24"/>
        </w:rPr>
      </w:pPr>
    </w:p>
    <w:p w14:paraId="615AC140" w14:textId="77777777" w:rsidR="008D3E85" w:rsidRPr="0074481B" w:rsidRDefault="008D3E85" w:rsidP="00AC1BCD">
      <w:pPr>
        <w:pStyle w:val="ListParagraph"/>
        <w:numPr>
          <w:ilvl w:val="0"/>
          <w:numId w:val="27"/>
        </w:numPr>
        <w:rPr>
          <w:u w:val="single"/>
        </w:rPr>
      </w:pPr>
      <w:r w:rsidRPr="0074481B">
        <w:rPr>
          <w:u w:val="single"/>
        </w:rPr>
        <w:t>Carbon Monoxide</w:t>
      </w:r>
      <w:r>
        <w:rPr>
          <w:u w:val="single"/>
        </w:rPr>
        <w:t xml:space="preserve"> (CO)</w:t>
      </w:r>
      <w:r w:rsidRPr="0074481B">
        <w:rPr>
          <w:u w:val="single"/>
        </w:rPr>
        <w:t xml:space="preserve"> and Volatile Organic Compounds</w:t>
      </w:r>
      <w:r>
        <w:rPr>
          <w:u w:val="single"/>
        </w:rPr>
        <w:t xml:space="preserve"> (VOC)</w:t>
      </w:r>
    </w:p>
    <w:p w14:paraId="68AE42F5" w14:textId="77777777" w:rsidR="0056642C" w:rsidRDefault="0056642C" w:rsidP="00AC1BCD">
      <w:pPr>
        <w:ind w:left="1440"/>
        <w:rPr>
          <w:szCs w:val="24"/>
        </w:rPr>
      </w:pPr>
    </w:p>
    <w:p w14:paraId="71B48EFC" w14:textId="4CE0D73E" w:rsidR="008D3E85" w:rsidRDefault="00AC1BCD" w:rsidP="00AC1BCD">
      <w:pPr>
        <w:ind w:left="1440"/>
        <w:rPr>
          <w:szCs w:val="24"/>
        </w:rPr>
      </w:pPr>
      <w:r w:rsidRPr="00AC1BCD">
        <w:rPr>
          <w:szCs w:val="24"/>
        </w:rPr>
        <w:t>NDP</w:t>
      </w:r>
      <w:r w:rsidR="008D3E85" w:rsidRPr="003B3613">
        <w:rPr>
          <w:szCs w:val="24"/>
        </w:rPr>
        <w:t xml:space="preserve"> </w:t>
      </w:r>
      <w:r w:rsidR="008D3E85">
        <w:rPr>
          <w:szCs w:val="24"/>
        </w:rPr>
        <w:t xml:space="preserve">considered several control strategies for the control of CO and VOC including oxidation catalysts, thermal oxidizers, and </w:t>
      </w:r>
      <w:r>
        <w:rPr>
          <w:szCs w:val="24"/>
        </w:rPr>
        <w:t>good combustion practices</w:t>
      </w:r>
      <w:r w:rsidR="008D3E85">
        <w:rPr>
          <w:szCs w:val="24"/>
        </w:rPr>
        <w:t>.</w:t>
      </w:r>
    </w:p>
    <w:p w14:paraId="36DE587A" w14:textId="77777777" w:rsidR="008D3E85" w:rsidRDefault="008D3E85" w:rsidP="00AC1BCD">
      <w:pPr>
        <w:ind w:left="1440"/>
        <w:rPr>
          <w:szCs w:val="24"/>
        </w:rPr>
      </w:pPr>
    </w:p>
    <w:p w14:paraId="0AF50EC6" w14:textId="3BCF30DD" w:rsidR="008D3E85" w:rsidRDefault="008D3E85" w:rsidP="00AC1BCD">
      <w:pPr>
        <w:ind w:left="1440"/>
        <w:rPr>
          <w:szCs w:val="24"/>
        </w:rPr>
      </w:pPr>
      <w:r>
        <w:rPr>
          <w:szCs w:val="24"/>
        </w:rPr>
        <w:t xml:space="preserve">Oxidation catalysts and thermal oxidizers </w:t>
      </w:r>
      <w:r w:rsidR="00AC1BCD">
        <w:rPr>
          <w:szCs w:val="24"/>
        </w:rPr>
        <w:t>were both determined to not be technically feasible. Both control technologies would need to be installed after the existing electrostatic precipitator, which would then require significant input of thermal energy to bring the flue gas to the required temperature to allow for thermal destruction of pollutants</w:t>
      </w:r>
      <w:r w:rsidR="00AB0FEA">
        <w:rPr>
          <w:szCs w:val="24"/>
        </w:rPr>
        <w:t>.</w:t>
      </w:r>
      <w:r w:rsidR="00AC1BCD">
        <w:rPr>
          <w:szCs w:val="24"/>
        </w:rPr>
        <w:t xml:space="preserve">  </w:t>
      </w:r>
    </w:p>
    <w:p w14:paraId="0FE227A9" w14:textId="77777777" w:rsidR="008D3E85" w:rsidRDefault="008D3E85" w:rsidP="00AC1BCD">
      <w:pPr>
        <w:ind w:left="1440"/>
        <w:rPr>
          <w:szCs w:val="24"/>
        </w:rPr>
      </w:pPr>
    </w:p>
    <w:p w14:paraId="35A735FA" w14:textId="054A3CDF" w:rsidR="00AC1BCD" w:rsidRDefault="00AC1BCD" w:rsidP="00AC1BCD">
      <w:pPr>
        <w:ind w:left="1440"/>
        <w:rPr>
          <w:szCs w:val="24"/>
        </w:rPr>
      </w:pPr>
      <w:r w:rsidRPr="00AC1BCD">
        <w:rPr>
          <w:szCs w:val="24"/>
        </w:rPr>
        <w:t>CO emissions can be minimized effectively by maintaining optimum air-to-fuel ratios and by proper</w:t>
      </w:r>
      <w:r>
        <w:rPr>
          <w:szCs w:val="24"/>
        </w:rPr>
        <w:t xml:space="preserve"> </w:t>
      </w:r>
      <w:r w:rsidRPr="00AC1BCD">
        <w:rPr>
          <w:szCs w:val="24"/>
        </w:rPr>
        <w:t>combustion design to ensure proper residence time and mixing. Oxygen monitoring in the exhaust stream</w:t>
      </w:r>
      <w:r>
        <w:rPr>
          <w:szCs w:val="24"/>
        </w:rPr>
        <w:t xml:space="preserve"> </w:t>
      </w:r>
      <w:r w:rsidRPr="00AC1BCD">
        <w:rPr>
          <w:szCs w:val="24"/>
        </w:rPr>
        <w:t xml:space="preserve">allows for the feedback adjustment of </w:t>
      </w:r>
      <w:r w:rsidRPr="00AC1BCD">
        <w:rPr>
          <w:szCs w:val="24"/>
        </w:rPr>
        <w:lastRenderedPageBreak/>
        <w:t>combustion air, ensuring an optimum air-to-fuel ratio without</w:t>
      </w:r>
      <w:r>
        <w:rPr>
          <w:szCs w:val="24"/>
        </w:rPr>
        <w:t xml:space="preserve"> </w:t>
      </w:r>
      <w:r w:rsidRPr="00AC1BCD">
        <w:rPr>
          <w:szCs w:val="24"/>
        </w:rPr>
        <w:t xml:space="preserve">sacrificing efficiency. In addition, staged combustion ensures complete combustion in </w:t>
      </w:r>
      <w:r w:rsidR="00D20652">
        <w:rPr>
          <w:szCs w:val="24"/>
        </w:rPr>
        <w:t>R</w:t>
      </w:r>
      <w:r w:rsidRPr="00AC1BCD">
        <w:rPr>
          <w:szCs w:val="24"/>
        </w:rPr>
        <w:t xml:space="preserve">ecovery </w:t>
      </w:r>
      <w:r w:rsidR="00D20652">
        <w:rPr>
          <w:szCs w:val="24"/>
        </w:rPr>
        <w:t>B</w:t>
      </w:r>
      <w:r w:rsidR="00D20652" w:rsidRPr="00AC1BCD">
        <w:rPr>
          <w:szCs w:val="24"/>
        </w:rPr>
        <w:t>oiler</w:t>
      </w:r>
      <w:r w:rsidR="00D20652">
        <w:rPr>
          <w:szCs w:val="24"/>
        </w:rPr>
        <w:t xml:space="preserve"> C</w:t>
      </w:r>
      <w:r w:rsidRPr="00AC1BCD">
        <w:rPr>
          <w:szCs w:val="24"/>
        </w:rPr>
        <w:t>.</w:t>
      </w:r>
      <w:r>
        <w:rPr>
          <w:szCs w:val="24"/>
        </w:rPr>
        <w:t xml:space="preserve"> </w:t>
      </w:r>
      <w:r w:rsidRPr="00AC1BCD">
        <w:rPr>
          <w:szCs w:val="24"/>
        </w:rPr>
        <w:t>These are all technically feasible CO control approaches.</w:t>
      </w:r>
    </w:p>
    <w:p w14:paraId="0605F6FC" w14:textId="77777777" w:rsidR="00AC1BCD" w:rsidRDefault="00AC1BCD" w:rsidP="00AC1BCD">
      <w:pPr>
        <w:ind w:left="1440"/>
        <w:rPr>
          <w:szCs w:val="24"/>
        </w:rPr>
      </w:pPr>
    </w:p>
    <w:p w14:paraId="23E7F913" w14:textId="13065124" w:rsidR="008D3E85" w:rsidRDefault="00AB0FEA" w:rsidP="00AC1BCD">
      <w:pPr>
        <w:ind w:left="1440"/>
        <w:rPr>
          <w:szCs w:val="24"/>
        </w:rPr>
      </w:pPr>
      <w:r>
        <w:rPr>
          <w:szCs w:val="24"/>
        </w:rPr>
        <w:t>The Department finds</w:t>
      </w:r>
      <w:r w:rsidR="00AC1BCD" w:rsidRPr="00AC1BCD">
        <w:rPr>
          <w:szCs w:val="24"/>
        </w:rPr>
        <w:t xml:space="preserve"> that maintaining the current CO and VOC emission limits in conjunction with good</w:t>
      </w:r>
      <w:r w:rsidR="00AC1BCD">
        <w:rPr>
          <w:szCs w:val="24"/>
        </w:rPr>
        <w:t xml:space="preserve"> </w:t>
      </w:r>
      <w:r w:rsidR="00AC1BCD" w:rsidRPr="00AC1BCD">
        <w:rPr>
          <w:szCs w:val="24"/>
        </w:rPr>
        <w:t>combustion practices represents BACT for CO and VOC emissions. Specifically, ND</w:t>
      </w:r>
      <w:r w:rsidR="002C7D4B">
        <w:rPr>
          <w:szCs w:val="24"/>
        </w:rPr>
        <w:t>P</w:t>
      </w:r>
      <w:r w:rsidR="00AC1BCD" w:rsidRPr="00AC1BCD">
        <w:rPr>
          <w:szCs w:val="24"/>
        </w:rPr>
        <w:t xml:space="preserve"> proposes that</w:t>
      </w:r>
      <w:r w:rsidR="00AC1BCD">
        <w:rPr>
          <w:szCs w:val="24"/>
        </w:rPr>
        <w:t xml:space="preserve"> </w:t>
      </w:r>
      <w:r w:rsidR="00AC1BCD" w:rsidRPr="00AC1BCD">
        <w:rPr>
          <w:szCs w:val="24"/>
        </w:rPr>
        <w:t>its current limit of 222.0 lb/hr represents BACT for control of CO emissions and its current limit of 3.7 lb/hr</w:t>
      </w:r>
      <w:r w:rsidR="00AC1BCD">
        <w:rPr>
          <w:szCs w:val="24"/>
        </w:rPr>
        <w:t xml:space="preserve"> </w:t>
      </w:r>
      <w:r w:rsidR="00AC1BCD" w:rsidRPr="00AC1BCD">
        <w:rPr>
          <w:szCs w:val="24"/>
        </w:rPr>
        <w:t>represents BACT for control of VOC emissions</w:t>
      </w:r>
      <w:r w:rsidR="002C7D4B">
        <w:rPr>
          <w:szCs w:val="24"/>
        </w:rPr>
        <w:t xml:space="preserve"> for periods while firing natural gas</w:t>
      </w:r>
      <w:r w:rsidR="00AC1BCD" w:rsidRPr="00AC1BCD">
        <w:rPr>
          <w:szCs w:val="24"/>
        </w:rPr>
        <w:t>.</w:t>
      </w:r>
    </w:p>
    <w:p w14:paraId="6766C441" w14:textId="77777777" w:rsidR="00AC1BCD" w:rsidRDefault="00AC1BCD" w:rsidP="00AC1BCD">
      <w:pPr>
        <w:rPr>
          <w:szCs w:val="24"/>
          <w:u w:val="single"/>
        </w:rPr>
      </w:pPr>
    </w:p>
    <w:p w14:paraId="154B1F0D" w14:textId="77777777" w:rsidR="008D3E85" w:rsidRDefault="008D3E85" w:rsidP="00AC1BCD">
      <w:pPr>
        <w:pStyle w:val="ListParagraph"/>
        <w:numPr>
          <w:ilvl w:val="0"/>
          <w:numId w:val="27"/>
        </w:numPr>
        <w:rPr>
          <w:u w:val="single"/>
        </w:rPr>
      </w:pPr>
      <w:r w:rsidRPr="0074481B">
        <w:rPr>
          <w:u w:val="single"/>
        </w:rPr>
        <w:t>Emission Limits</w:t>
      </w:r>
    </w:p>
    <w:p w14:paraId="3D510408" w14:textId="77777777" w:rsidR="00EC3A67" w:rsidRPr="0074481B" w:rsidRDefault="00EC3A67" w:rsidP="00EC3A67">
      <w:pPr>
        <w:pStyle w:val="ListParagraph"/>
        <w:ind w:left="1440"/>
        <w:rPr>
          <w:u w:val="single"/>
        </w:rPr>
      </w:pPr>
    </w:p>
    <w:p w14:paraId="7DF304B2" w14:textId="0D8869FD" w:rsidR="008D3E85" w:rsidRPr="000F4332" w:rsidRDefault="008D3E85" w:rsidP="00AC1BCD">
      <w:pPr>
        <w:ind w:left="1440"/>
        <w:rPr>
          <w:szCs w:val="24"/>
        </w:rPr>
      </w:pPr>
      <w:r w:rsidRPr="000F4332">
        <w:rPr>
          <w:szCs w:val="24"/>
        </w:rPr>
        <w:t xml:space="preserve">The </w:t>
      </w:r>
      <w:r>
        <w:rPr>
          <w:szCs w:val="24"/>
        </w:rPr>
        <w:t>BACT</w:t>
      </w:r>
      <w:r w:rsidR="006B1CFA">
        <w:rPr>
          <w:szCs w:val="24"/>
        </w:rPr>
        <w:t xml:space="preserve"> and BPT</w:t>
      </w:r>
      <w:r>
        <w:rPr>
          <w:szCs w:val="24"/>
        </w:rPr>
        <w:t xml:space="preserve"> </w:t>
      </w:r>
      <w:r w:rsidRPr="000F4332">
        <w:rPr>
          <w:szCs w:val="24"/>
        </w:rPr>
        <w:t xml:space="preserve">emission </w:t>
      </w:r>
      <w:r w:rsidR="006B588D">
        <w:rPr>
          <w:szCs w:val="24"/>
        </w:rPr>
        <w:t>rates used to determine the potential actual emissions increase</w:t>
      </w:r>
      <w:r w:rsidRPr="000F4332">
        <w:rPr>
          <w:szCs w:val="24"/>
        </w:rPr>
        <w:t xml:space="preserve"> for </w:t>
      </w:r>
      <w:r w:rsidR="002C7D4B" w:rsidRPr="002C7D4B">
        <w:rPr>
          <w:bCs/>
          <w:iCs/>
          <w:szCs w:val="24"/>
        </w:rPr>
        <w:t>Recovery Boiler C</w:t>
      </w:r>
      <w:r>
        <w:rPr>
          <w:b/>
          <w:i/>
          <w:szCs w:val="24"/>
        </w:rPr>
        <w:t xml:space="preserve"> </w:t>
      </w:r>
      <w:r w:rsidRPr="000F4332">
        <w:rPr>
          <w:szCs w:val="24"/>
        </w:rPr>
        <w:t>w</w:t>
      </w:r>
      <w:r>
        <w:rPr>
          <w:szCs w:val="24"/>
        </w:rPr>
        <w:t>ere</w:t>
      </w:r>
      <w:r w:rsidRPr="000F4332">
        <w:rPr>
          <w:szCs w:val="24"/>
        </w:rPr>
        <w:t xml:space="preserve"> based on the following:</w:t>
      </w:r>
    </w:p>
    <w:p w14:paraId="01B4834A" w14:textId="11C26643" w:rsidR="008D3E85" w:rsidRDefault="008D3E85" w:rsidP="00AC1BCD">
      <w:pPr>
        <w:ind w:left="1440" w:hanging="1440"/>
        <w:rPr>
          <w:u w:val="single"/>
        </w:rPr>
      </w:pPr>
      <w:r>
        <w:tab/>
      </w:r>
      <w:r>
        <w:tab/>
      </w:r>
      <w:r>
        <w:tab/>
      </w:r>
      <w:r>
        <w:tab/>
      </w:r>
      <w:r>
        <w:tab/>
      </w:r>
    </w:p>
    <w:p w14:paraId="051D5141" w14:textId="77777777" w:rsidR="008D3E85" w:rsidRPr="00926D8A" w:rsidRDefault="008D3E85" w:rsidP="00AC1BCD">
      <w:pPr>
        <w:ind w:left="1080" w:firstLine="360"/>
        <w:rPr>
          <w:u w:val="single"/>
        </w:rPr>
      </w:pPr>
      <w:r>
        <w:rPr>
          <w:u w:val="single"/>
        </w:rPr>
        <w:t>Natural Gas</w:t>
      </w:r>
    </w:p>
    <w:p w14:paraId="50C2D3E7" w14:textId="77777777" w:rsidR="008D3E85" w:rsidRDefault="008D3E85" w:rsidP="00AC1BCD">
      <w:pPr>
        <w:ind w:left="1080" w:hanging="720"/>
      </w:pPr>
      <w:r>
        <w:tab/>
      </w:r>
      <w:r>
        <w:tab/>
      </w:r>
      <w:r>
        <w:tab/>
      </w:r>
    </w:p>
    <w:tbl>
      <w:tblPr>
        <w:tblStyle w:val="TableGrid"/>
        <w:tblW w:w="819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344"/>
        <w:gridCol w:w="6509"/>
      </w:tblGrid>
      <w:tr w:rsidR="008D3E85" w14:paraId="6274B2CE" w14:textId="77777777" w:rsidTr="006759F6">
        <w:tc>
          <w:tcPr>
            <w:tcW w:w="1337" w:type="dxa"/>
          </w:tcPr>
          <w:p w14:paraId="5D48129C" w14:textId="77777777" w:rsidR="008D3E85" w:rsidRPr="005878EA" w:rsidRDefault="008D3E85" w:rsidP="00AC1BCD">
            <w:r w:rsidRPr="005878EA">
              <w:t>PM</w:t>
            </w:r>
          </w:p>
        </w:tc>
        <w:tc>
          <w:tcPr>
            <w:tcW w:w="344" w:type="dxa"/>
          </w:tcPr>
          <w:p w14:paraId="30FEC317" w14:textId="77777777" w:rsidR="008D3E85" w:rsidRPr="005878EA" w:rsidRDefault="008D3E85" w:rsidP="00AC1BCD">
            <w:pPr>
              <w:ind w:left="252" w:hanging="252"/>
            </w:pPr>
            <w:r w:rsidRPr="005878EA">
              <w:t>–</w:t>
            </w:r>
          </w:p>
        </w:tc>
        <w:tc>
          <w:tcPr>
            <w:tcW w:w="6509" w:type="dxa"/>
          </w:tcPr>
          <w:p w14:paraId="388F09B8" w14:textId="2EF1F75C" w:rsidR="008D3E85" w:rsidRPr="005878EA" w:rsidRDefault="005878EA" w:rsidP="00AC1BCD">
            <w:r w:rsidRPr="005878EA">
              <w:t>7.6 lb/MMscf based on AP-42 Table 1.4-2 dated 7/98</w:t>
            </w:r>
          </w:p>
        </w:tc>
      </w:tr>
      <w:tr w:rsidR="008D3E85" w14:paraId="4DE3661A" w14:textId="77777777" w:rsidTr="006759F6">
        <w:tc>
          <w:tcPr>
            <w:tcW w:w="1337" w:type="dxa"/>
          </w:tcPr>
          <w:p w14:paraId="31FC764F" w14:textId="77777777" w:rsidR="008D3E85" w:rsidRPr="005878EA" w:rsidRDefault="008D3E85" w:rsidP="00AC1BCD">
            <w:r w:rsidRPr="005878EA">
              <w:t>PM</w:t>
            </w:r>
            <w:r w:rsidRPr="005878EA">
              <w:rPr>
                <w:vertAlign w:val="subscript"/>
              </w:rPr>
              <w:t>10</w:t>
            </w:r>
            <w:r w:rsidRPr="005878EA">
              <w:t>/PM</w:t>
            </w:r>
            <w:r w:rsidRPr="005878EA">
              <w:rPr>
                <w:vertAlign w:val="subscript"/>
              </w:rPr>
              <w:t>2.5</w:t>
            </w:r>
          </w:p>
        </w:tc>
        <w:tc>
          <w:tcPr>
            <w:tcW w:w="344" w:type="dxa"/>
          </w:tcPr>
          <w:p w14:paraId="3D5376A3" w14:textId="77777777" w:rsidR="008D3E85" w:rsidRPr="005878EA" w:rsidRDefault="008D3E85" w:rsidP="00AC1BCD">
            <w:r w:rsidRPr="005878EA">
              <w:t>–</w:t>
            </w:r>
          </w:p>
        </w:tc>
        <w:tc>
          <w:tcPr>
            <w:tcW w:w="6509" w:type="dxa"/>
          </w:tcPr>
          <w:p w14:paraId="45FB1F0F" w14:textId="77777777" w:rsidR="008D3E85" w:rsidRPr="005878EA" w:rsidRDefault="008D3E85" w:rsidP="00AC1BCD">
            <w:r w:rsidRPr="005878EA">
              <w:t>7.6 lb/MMscf based on AP-42 Table 1.4-2 dated 7/98</w:t>
            </w:r>
          </w:p>
        </w:tc>
      </w:tr>
      <w:tr w:rsidR="008D3E85" w14:paraId="33A2A274" w14:textId="77777777" w:rsidTr="006759F6">
        <w:tc>
          <w:tcPr>
            <w:tcW w:w="1337" w:type="dxa"/>
          </w:tcPr>
          <w:p w14:paraId="27D0E39D" w14:textId="77777777" w:rsidR="008D3E85" w:rsidRPr="005878EA" w:rsidRDefault="008D3E85" w:rsidP="00AC1BCD">
            <w:r w:rsidRPr="005878EA">
              <w:t>SO</w:t>
            </w:r>
            <w:r w:rsidRPr="005878EA">
              <w:rPr>
                <w:vertAlign w:val="subscript"/>
              </w:rPr>
              <w:t>2</w:t>
            </w:r>
          </w:p>
        </w:tc>
        <w:tc>
          <w:tcPr>
            <w:tcW w:w="344" w:type="dxa"/>
          </w:tcPr>
          <w:p w14:paraId="13B8D4A8" w14:textId="77777777" w:rsidR="008D3E85" w:rsidRPr="005878EA" w:rsidRDefault="008D3E85" w:rsidP="00AC1BCD">
            <w:r w:rsidRPr="005878EA">
              <w:t>–</w:t>
            </w:r>
          </w:p>
        </w:tc>
        <w:tc>
          <w:tcPr>
            <w:tcW w:w="6509" w:type="dxa"/>
          </w:tcPr>
          <w:p w14:paraId="34C2E39C" w14:textId="77777777" w:rsidR="008D3E85" w:rsidRPr="005878EA" w:rsidRDefault="008D3E85" w:rsidP="00AC1BCD">
            <w:r w:rsidRPr="005878EA">
              <w:t>0.6 lb/MMscf based on AP-42 Table 1.4-2 dated 7/98</w:t>
            </w:r>
          </w:p>
        </w:tc>
      </w:tr>
      <w:tr w:rsidR="008D3E85" w14:paraId="4329E1F1" w14:textId="77777777" w:rsidTr="006759F6">
        <w:tc>
          <w:tcPr>
            <w:tcW w:w="1337" w:type="dxa"/>
          </w:tcPr>
          <w:p w14:paraId="013EFA43" w14:textId="77777777" w:rsidR="008D3E85" w:rsidRPr="005878EA" w:rsidRDefault="008D3E85" w:rsidP="00AC1BCD">
            <w:r w:rsidRPr="005878EA">
              <w:t>NO</w:t>
            </w:r>
            <w:r w:rsidRPr="005878EA">
              <w:rPr>
                <w:vertAlign w:val="subscript"/>
              </w:rPr>
              <w:t>x</w:t>
            </w:r>
          </w:p>
        </w:tc>
        <w:tc>
          <w:tcPr>
            <w:tcW w:w="344" w:type="dxa"/>
          </w:tcPr>
          <w:p w14:paraId="68137FB4" w14:textId="77777777" w:rsidR="008D3E85" w:rsidRPr="005878EA" w:rsidRDefault="008D3E85" w:rsidP="00AC1BCD">
            <w:r w:rsidRPr="005878EA">
              <w:t>–</w:t>
            </w:r>
          </w:p>
        </w:tc>
        <w:tc>
          <w:tcPr>
            <w:tcW w:w="6509" w:type="dxa"/>
          </w:tcPr>
          <w:p w14:paraId="4F171267" w14:textId="657D1DA3" w:rsidR="008D3E85" w:rsidRPr="005878EA" w:rsidRDefault="00424CEB" w:rsidP="00AC1BCD">
            <w:r>
              <w:t>140</w:t>
            </w:r>
            <w:r w:rsidR="008D3E85" w:rsidRPr="005878EA">
              <w:t xml:space="preserve"> lb/MMscf based on AP-42 Table 1.4-1 dated 7/98</w:t>
            </w:r>
          </w:p>
        </w:tc>
      </w:tr>
      <w:tr w:rsidR="008D3E85" w14:paraId="15DE39E8" w14:textId="77777777" w:rsidTr="006759F6">
        <w:tc>
          <w:tcPr>
            <w:tcW w:w="1337" w:type="dxa"/>
          </w:tcPr>
          <w:p w14:paraId="38CDC34D" w14:textId="77777777" w:rsidR="008D3E85" w:rsidRPr="005878EA" w:rsidRDefault="008D3E85" w:rsidP="00AC1BCD">
            <w:r w:rsidRPr="005878EA">
              <w:t>CO</w:t>
            </w:r>
          </w:p>
        </w:tc>
        <w:tc>
          <w:tcPr>
            <w:tcW w:w="344" w:type="dxa"/>
          </w:tcPr>
          <w:p w14:paraId="48CA3844" w14:textId="77777777" w:rsidR="008D3E85" w:rsidRPr="005878EA" w:rsidRDefault="008D3E85" w:rsidP="00AC1BCD">
            <w:r w:rsidRPr="005878EA">
              <w:t>–</w:t>
            </w:r>
          </w:p>
        </w:tc>
        <w:tc>
          <w:tcPr>
            <w:tcW w:w="6509" w:type="dxa"/>
          </w:tcPr>
          <w:p w14:paraId="10DD53A2" w14:textId="77777777" w:rsidR="008D3E85" w:rsidRPr="005878EA" w:rsidRDefault="008D3E85" w:rsidP="00AC1BCD">
            <w:r w:rsidRPr="005878EA">
              <w:t>84 lb/MMscf based on AP-42 Table 1.4-1 dated 7/98</w:t>
            </w:r>
          </w:p>
        </w:tc>
      </w:tr>
      <w:tr w:rsidR="008D3E85" w14:paraId="0CAA414F" w14:textId="77777777" w:rsidTr="006759F6">
        <w:tc>
          <w:tcPr>
            <w:tcW w:w="1337" w:type="dxa"/>
          </w:tcPr>
          <w:p w14:paraId="09603AC6" w14:textId="77777777" w:rsidR="008D3E85" w:rsidRPr="005878EA" w:rsidRDefault="008D3E85" w:rsidP="00AC1BCD">
            <w:r w:rsidRPr="005878EA">
              <w:t>VOC</w:t>
            </w:r>
          </w:p>
        </w:tc>
        <w:tc>
          <w:tcPr>
            <w:tcW w:w="344" w:type="dxa"/>
          </w:tcPr>
          <w:p w14:paraId="4BBB67F7" w14:textId="77777777" w:rsidR="008D3E85" w:rsidRPr="005878EA" w:rsidRDefault="008D3E85" w:rsidP="00AC1BCD">
            <w:r w:rsidRPr="005878EA">
              <w:t>–</w:t>
            </w:r>
          </w:p>
        </w:tc>
        <w:tc>
          <w:tcPr>
            <w:tcW w:w="6509" w:type="dxa"/>
          </w:tcPr>
          <w:p w14:paraId="6F9044BF" w14:textId="77777777" w:rsidR="008D3E85" w:rsidRPr="005878EA" w:rsidRDefault="008D3E85" w:rsidP="00AC1BCD">
            <w:r w:rsidRPr="005878EA">
              <w:t>5.5 lb/MMscf based on AP-42 Table 1.4-2 dated 7/98</w:t>
            </w:r>
          </w:p>
        </w:tc>
      </w:tr>
    </w:tbl>
    <w:p w14:paraId="0D0A9F9F" w14:textId="77777777" w:rsidR="008D3E85" w:rsidRDefault="008D3E85" w:rsidP="00AC1BCD">
      <w:pPr>
        <w:pStyle w:val="BodyTextIndent3"/>
        <w:ind w:left="1800" w:hanging="1080"/>
      </w:pPr>
    </w:p>
    <w:p w14:paraId="6B9A3F72" w14:textId="67273F58" w:rsidR="008D3E85" w:rsidRDefault="00EC3A67" w:rsidP="00AC1BCD">
      <w:pPr>
        <w:ind w:left="1440"/>
        <w:rPr>
          <w:szCs w:val="24"/>
        </w:rPr>
      </w:pPr>
      <w:r>
        <w:rPr>
          <w:szCs w:val="24"/>
        </w:rPr>
        <w:t>As natural gas is fired as a supplemental fuel in Recovery Boiler C, its addition will not change</w:t>
      </w:r>
      <w:r w:rsidR="006B588D">
        <w:rPr>
          <w:szCs w:val="24"/>
        </w:rPr>
        <w:t xml:space="preserve"> any short-term </w:t>
      </w:r>
      <w:r>
        <w:rPr>
          <w:szCs w:val="24"/>
        </w:rPr>
        <w:t>emission limit</w:t>
      </w:r>
      <w:r w:rsidR="006B588D">
        <w:rPr>
          <w:szCs w:val="24"/>
        </w:rPr>
        <w:t xml:space="preserve"> </w:t>
      </w:r>
      <w:r w:rsidR="00AB0FEA">
        <w:rPr>
          <w:szCs w:val="24"/>
        </w:rPr>
        <w:t xml:space="preserve">specified </w:t>
      </w:r>
      <w:r w:rsidR="006B588D">
        <w:rPr>
          <w:szCs w:val="24"/>
        </w:rPr>
        <w:t xml:space="preserve">in the facility’s </w:t>
      </w:r>
      <w:r w:rsidR="00AB0FEA">
        <w:rPr>
          <w:szCs w:val="24"/>
        </w:rPr>
        <w:t xml:space="preserve">Part </w:t>
      </w:r>
      <w:r w:rsidR="006759F6">
        <w:rPr>
          <w:szCs w:val="24"/>
        </w:rPr>
        <w:t xml:space="preserve">70 </w:t>
      </w:r>
      <w:r w:rsidR="00AB0FEA">
        <w:rPr>
          <w:szCs w:val="24"/>
        </w:rPr>
        <w:t>license</w:t>
      </w:r>
      <w:r w:rsidR="006B588D">
        <w:rPr>
          <w:szCs w:val="24"/>
        </w:rPr>
        <w:t xml:space="preserve">. This modification will </w:t>
      </w:r>
      <w:r w:rsidR="00AB0FEA">
        <w:rPr>
          <w:szCs w:val="24"/>
        </w:rPr>
        <w:t xml:space="preserve">also </w:t>
      </w:r>
      <w:r w:rsidR="006B588D">
        <w:rPr>
          <w:szCs w:val="24"/>
        </w:rPr>
        <w:t xml:space="preserve">not change the visible emission </w:t>
      </w:r>
      <w:r w:rsidR="00AB0FEA">
        <w:rPr>
          <w:szCs w:val="24"/>
        </w:rPr>
        <w:t>standards applicable to</w:t>
      </w:r>
      <w:r w:rsidR="006B588D">
        <w:rPr>
          <w:szCs w:val="24"/>
        </w:rPr>
        <w:t xml:space="preserve"> Recovery Boiler C </w:t>
      </w:r>
      <w:r w:rsidR="00D20652">
        <w:rPr>
          <w:szCs w:val="24"/>
        </w:rPr>
        <w:t>specified</w:t>
      </w:r>
      <w:r w:rsidR="006B588D" w:rsidRPr="006B588D">
        <w:rPr>
          <w:szCs w:val="24"/>
        </w:rPr>
        <w:t xml:space="preserve"> </w:t>
      </w:r>
      <w:r w:rsidR="006B588D">
        <w:rPr>
          <w:szCs w:val="24"/>
        </w:rPr>
        <w:t xml:space="preserve">in the facility’s </w:t>
      </w:r>
      <w:r w:rsidR="00AB0FEA">
        <w:rPr>
          <w:szCs w:val="24"/>
        </w:rPr>
        <w:t xml:space="preserve">Part </w:t>
      </w:r>
      <w:r w:rsidR="006B588D">
        <w:rPr>
          <w:szCs w:val="24"/>
        </w:rPr>
        <w:t xml:space="preserve">70 </w:t>
      </w:r>
      <w:r w:rsidR="00AB0FEA">
        <w:rPr>
          <w:szCs w:val="24"/>
        </w:rPr>
        <w:t>license</w:t>
      </w:r>
      <w:r w:rsidR="006B588D">
        <w:rPr>
          <w:szCs w:val="24"/>
        </w:rPr>
        <w:t>.</w:t>
      </w:r>
    </w:p>
    <w:p w14:paraId="6160AEF8" w14:textId="77777777" w:rsidR="009D4B91" w:rsidRDefault="009D4B91" w:rsidP="00AC1BCD">
      <w:pPr>
        <w:ind w:left="1080"/>
      </w:pPr>
    </w:p>
    <w:p w14:paraId="62752D58" w14:textId="5560E5C0" w:rsidR="009D4B91" w:rsidRPr="00572A96" w:rsidRDefault="009D4B91" w:rsidP="009D4B91">
      <w:pPr>
        <w:pStyle w:val="Heading3"/>
        <w:rPr>
          <w:b/>
          <w:iCs/>
          <w:szCs w:val="24"/>
        </w:rPr>
      </w:pPr>
      <w:r>
        <w:rPr>
          <w:b/>
          <w:iCs/>
          <w:szCs w:val="24"/>
        </w:rPr>
        <w:t>Cogen Boilers #6 and #7</w:t>
      </w:r>
    </w:p>
    <w:p w14:paraId="44598041" w14:textId="77777777" w:rsidR="009D4B91" w:rsidRPr="004A4652" w:rsidRDefault="009D4B91" w:rsidP="009D4B91">
      <w:pPr>
        <w:rPr>
          <w:szCs w:val="24"/>
        </w:rPr>
      </w:pPr>
      <w:r w:rsidRPr="004A4652">
        <w:rPr>
          <w:szCs w:val="24"/>
        </w:rPr>
        <w:t xml:space="preserve"> </w:t>
      </w:r>
    </w:p>
    <w:p w14:paraId="389A1E0C" w14:textId="77777777" w:rsidR="009D4B91" w:rsidRDefault="009D4B91" w:rsidP="009D4B91">
      <w:pPr>
        <w:pStyle w:val="ListParagraph"/>
        <w:numPr>
          <w:ilvl w:val="0"/>
          <w:numId w:val="28"/>
        </w:numPr>
      </w:pPr>
      <w:r>
        <w:t>Equipment</w:t>
      </w:r>
      <w:r w:rsidRPr="004A4652">
        <w:t xml:space="preserve"> Description</w:t>
      </w:r>
    </w:p>
    <w:p w14:paraId="4203C12F" w14:textId="77777777" w:rsidR="00F7183B" w:rsidRDefault="00F7183B" w:rsidP="00F7183B">
      <w:pPr>
        <w:pStyle w:val="ListParagraph"/>
        <w:ind w:left="1080"/>
      </w:pPr>
    </w:p>
    <w:p w14:paraId="7345BEDF" w14:textId="6C4E038E" w:rsidR="009D4B91" w:rsidRPr="009D4B91" w:rsidRDefault="009D4B91" w:rsidP="009D4B91">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pPr>
      <w:r w:rsidRPr="004250B0">
        <w:t>Cogen</w:t>
      </w:r>
      <w:r>
        <w:t xml:space="preserve"> </w:t>
      </w:r>
      <w:r w:rsidRPr="004250B0">
        <w:t xml:space="preserve">Boilers #6 and #7 are identical, circulating fluidized bed (CFB) boilers manufactured by Pyropower. Each of the Cogen Boilers is </w:t>
      </w:r>
      <w:r>
        <w:t xml:space="preserve">presently </w:t>
      </w:r>
      <w:r w:rsidRPr="004250B0">
        <w:t>equipped with Coen Model 4 oil burners. These boilers commenced construction in 1986 and</w:t>
      </w:r>
      <w:r w:rsidRPr="009D4B91">
        <w:t xml:space="preserve"> started operation in 199</w:t>
      </w:r>
      <w:r w:rsidRPr="004250B0">
        <w:t>0. Each has a rated capacity of 610 MMBtu/hour (annual) and 630</w:t>
      </w:r>
      <w:r w:rsidR="00D20652">
        <w:t> </w:t>
      </w:r>
      <w:r w:rsidRPr="004250B0">
        <w:t>MMBtu/hour (24</w:t>
      </w:r>
      <w:r w:rsidRPr="004250B0">
        <w:noBreakHyphen/>
        <w:t>hour period). Emissions from the two boilers exit through a common stack (Stack #6/7) and share common COMS and CEMS for SO</w:t>
      </w:r>
      <w:r w:rsidRPr="009D4B91">
        <w:rPr>
          <w:vertAlign w:val="subscript"/>
        </w:rPr>
        <w:t>2</w:t>
      </w:r>
      <w:r>
        <w:t>,</w:t>
      </w:r>
      <w:r w:rsidRPr="004250B0">
        <w:t xml:space="preserve"> NO</w:t>
      </w:r>
      <w:r w:rsidRPr="009D4B91">
        <w:rPr>
          <w:vertAlign w:val="subscript"/>
        </w:rPr>
        <w:t>x</w:t>
      </w:r>
      <w:r>
        <w:t>, O</w:t>
      </w:r>
      <w:r w:rsidRPr="009D4B91">
        <w:rPr>
          <w:vertAlign w:val="subscript"/>
        </w:rPr>
        <w:t>2</w:t>
      </w:r>
      <w:r>
        <w:t>, CO</w:t>
      </w:r>
      <w:r w:rsidRPr="009D4B91">
        <w:rPr>
          <w:vertAlign w:val="subscript"/>
        </w:rPr>
        <w:t>2</w:t>
      </w:r>
      <w:r>
        <w:t>, and opacity.</w:t>
      </w:r>
      <w:r w:rsidRPr="004250B0">
        <w:t xml:space="preserve"> The stack has an inside diameter of 11.5 </w:t>
      </w:r>
      <w:r w:rsidRPr="009D4B91">
        <w:t>feet and a height of 411 feet AGL.</w:t>
      </w:r>
    </w:p>
    <w:p w14:paraId="55B86DB1" w14:textId="77777777" w:rsidR="009D4B91" w:rsidRPr="009D4B91" w:rsidRDefault="009D4B91" w:rsidP="009D4B91">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rPr>
          <w:sz w:val="16"/>
          <w:szCs w:val="16"/>
        </w:rPr>
      </w:pPr>
    </w:p>
    <w:p w14:paraId="1F5502BC" w14:textId="3C771F39" w:rsidR="009D4B91" w:rsidRDefault="009D4B91" w:rsidP="00FD52CB">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rPr>
          <w:iCs/>
        </w:rPr>
      </w:pPr>
      <w:r w:rsidRPr="009D4B91">
        <w:rPr>
          <w:iCs/>
        </w:rPr>
        <w:t xml:space="preserve">Cogen Boilers #6 and #7 are licensed to fire a variety of fuels, including coal, natural gas, HVLCs, </w:t>
      </w:r>
      <w:r w:rsidRPr="009D4B91">
        <w:t>LVHC</w:t>
      </w:r>
      <w:r w:rsidRPr="009D4B91">
        <w:rPr>
          <w:iCs/>
        </w:rPr>
        <w:t xml:space="preserve">s, SOGs, biomass (including wood waste, </w:t>
      </w:r>
      <w:r w:rsidRPr="009D4B91">
        <w:rPr>
          <w:iCs/>
        </w:rPr>
        <w:lastRenderedPageBreak/>
        <w:t>creosote</w:t>
      </w:r>
      <w:r w:rsidR="007E7F1F">
        <w:rPr>
          <w:iCs/>
        </w:rPr>
        <w:noBreakHyphen/>
      </w:r>
      <w:r w:rsidRPr="009D4B91">
        <w:rPr>
          <w:iCs/>
        </w:rPr>
        <w:t>treated</w:t>
      </w:r>
      <w:r w:rsidR="007E7F1F">
        <w:rPr>
          <w:iCs/>
        </w:rPr>
        <w:t> </w:t>
      </w:r>
      <w:r w:rsidRPr="009D4B91">
        <w:rPr>
          <w:iCs/>
        </w:rPr>
        <w:t>wood</w:t>
      </w:r>
      <w:r w:rsidR="007E7F1F">
        <w:rPr>
          <w:iCs/>
        </w:rPr>
        <w:t> </w:t>
      </w:r>
      <w:r w:rsidRPr="009D4B91">
        <w:rPr>
          <w:iCs/>
        </w:rPr>
        <w:t>(CTW), wastewater treatment plant sludge, construction</w:t>
      </w:r>
      <w:r w:rsidR="00D20652">
        <w:rPr>
          <w:iCs/>
        </w:rPr>
        <w:t xml:space="preserve"> &amp;</w:t>
      </w:r>
      <w:r w:rsidRPr="009D4B91">
        <w:rPr>
          <w:iCs/>
        </w:rPr>
        <w:t xml:space="preserve"> demolition debris (CDD), and waste papers), tire derived fuel (TDF), delayed petroleum coke (DPC), lime kiln rejects, oil (including specification waste oil, off</w:t>
      </w:r>
      <w:r w:rsidR="007E7F1F">
        <w:rPr>
          <w:iCs/>
        </w:rPr>
        <w:noBreakHyphen/>
      </w:r>
      <w:r w:rsidRPr="009D4B91">
        <w:rPr>
          <w:iCs/>
        </w:rPr>
        <w:t xml:space="preserve">specification waste oil, and fuel oil with a sulfur content not to exceed 2.5% by weight), and old corrugated cardboard and double-lined kraft (collectively referred to as OCC) residuals. The firing rate capacity of Cogen Boilers #6 and #7 depends on what fuel or fuel mixture is employed.  </w:t>
      </w:r>
    </w:p>
    <w:p w14:paraId="2EF8A448" w14:textId="77777777" w:rsidR="006B588D" w:rsidRDefault="006B588D" w:rsidP="00FD52CB">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rPr>
          <w:iCs/>
        </w:rPr>
      </w:pPr>
    </w:p>
    <w:p w14:paraId="41007D90" w14:textId="41394EDD" w:rsidR="006B588D" w:rsidRPr="009D4B91" w:rsidRDefault="006B588D" w:rsidP="00FD52CB">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080"/>
        <w:rPr>
          <w:iCs/>
        </w:rPr>
      </w:pPr>
      <w:r>
        <w:rPr>
          <w:iCs/>
        </w:rPr>
        <w:t>This modification will replace the existing oil burners in Cogen Boilers #6 and #7 with natural gas burners</w:t>
      </w:r>
      <w:r w:rsidR="003A45DD">
        <w:rPr>
          <w:iCs/>
        </w:rPr>
        <w:t>, but will not preclude the future</w:t>
      </w:r>
      <w:r w:rsidR="00E36A5D">
        <w:rPr>
          <w:iCs/>
        </w:rPr>
        <w:t xml:space="preserve"> fir</w:t>
      </w:r>
      <w:r w:rsidR="003A45DD">
        <w:rPr>
          <w:iCs/>
        </w:rPr>
        <w:t>ing of</w:t>
      </w:r>
      <w:r w:rsidR="00E36A5D">
        <w:rPr>
          <w:iCs/>
        </w:rPr>
        <w:t xml:space="preserve"> fuel oil</w:t>
      </w:r>
      <w:r>
        <w:rPr>
          <w:iCs/>
        </w:rPr>
        <w:t>.</w:t>
      </w:r>
    </w:p>
    <w:p w14:paraId="27345728" w14:textId="77777777" w:rsidR="009D4B91" w:rsidRPr="00FD73BF" w:rsidRDefault="009D4B91" w:rsidP="009D4B91">
      <w:pPr>
        <w:pStyle w:val="ListParagraph"/>
        <w:ind w:left="1080"/>
      </w:pPr>
    </w:p>
    <w:p w14:paraId="1E006297" w14:textId="77777777" w:rsidR="009D4B91" w:rsidRPr="006B1CFA" w:rsidRDefault="009D4B91" w:rsidP="009D4B91">
      <w:pPr>
        <w:pStyle w:val="Heading5"/>
        <w:numPr>
          <w:ilvl w:val="0"/>
          <w:numId w:val="28"/>
        </w:numPr>
        <w:rPr>
          <w:b w:val="0"/>
          <w:bCs/>
        </w:rPr>
      </w:pPr>
      <w:r w:rsidRPr="006B1CFA">
        <w:rPr>
          <w:b w:val="0"/>
          <w:bCs/>
        </w:rPr>
        <w:t>BACT and BPT Findings</w:t>
      </w:r>
    </w:p>
    <w:p w14:paraId="0FD2F228" w14:textId="77777777" w:rsidR="009D4B91" w:rsidRPr="00D66783" w:rsidRDefault="009D4B91" w:rsidP="009D4B91">
      <w:pPr>
        <w:ind w:left="720"/>
        <w:rPr>
          <w:szCs w:val="24"/>
        </w:rPr>
      </w:pPr>
    </w:p>
    <w:p w14:paraId="2DCBF36D" w14:textId="0BD782DE" w:rsidR="003A45DD" w:rsidRDefault="009D4B91" w:rsidP="009D4B91">
      <w:pPr>
        <w:ind w:left="1080"/>
        <w:rPr>
          <w:szCs w:val="24"/>
        </w:rPr>
      </w:pPr>
      <w:r w:rsidRPr="00941695">
        <w:rPr>
          <w:szCs w:val="24"/>
        </w:rPr>
        <w:t xml:space="preserve">NDP submitted a BACT analysis for control of emissions </w:t>
      </w:r>
      <w:r w:rsidR="003A45DD" w:rsidRPr="00941695">
        <w:rPr>
          <w:szCs w:val="24"/>
        </w:rPr>
        <w:t>of PM, PM</w:t>
      </w:r>
      <w:r w:rsidR="003A45DD" w:rsidRPr="00941695">
        <w:rPr>
          <w:szCs w:val="24"/>
          <w:vertAlign w:val="subscript"/>
        </w:rPr>
        <w:t>10</w:t>
      </w:r>
      <w:r w:rsidR="003A45DD" w:rsidRPr="00941695">
        <w:rPr>
          <w:szCs w:val="24"/>
        </w:rPr>
        <w:t>, PM</w:t>
      </w:r>
      <w:r w:rsidR="003A45DD" w:rsidRPr="00941695">
        <w:rPr>
          <w:szCs w:val="24"/>
          <w:vertAlign w:val="subscript"/>
        </w:rPr>
        <w:t>2.5</w:t>
      </w:r>
      <w:r w:rsidR="003A45DD" w:rsidRPr="00941695">
        <w:rPr>
          <w:szCs w:val="24"/>
        </w:rPr>
        <w:t>,</w:t>
      </w:r>
      <w:r w:rsidR="003A45DD" w:rsidRPr="00941695">
        <w:rPr>
          <w:szCs w:val="24"/>
          <w:vertAlign w:val="subscript"/>
        </w:rPr>
        <w:t xml:space="preserve"> </w:t>
      </w:r>
      <w:r w:rsidR="003A45DD" w:rsidRPr="00941695">
        <w:rPr>
          <w:szCs w:val="24"/>
        </w:rPr>
        <w:t xml:space="preserve">CO, and VOC </w:t>
      </w:r>
      <w:r w:rsidRPr="00941695">
        <w:rPr>
          <w:szCs w:val="24"/>
        </w:rPr>
        <w:t xml:space="preserve">from Cogen Boilers #6 and #7 while firing natural gas. </w:t>
      </w:r>
      <w:r w:rsidRPr="00941695">
        <w:rPr>
          <w:bCs/>
          <w:iCs/>
          <w:szCs w:val="24"/>
        </w:rPr>
        <w:t xml:space="preserve">The conversion </w:t>
      </w:r>
      <w:r w:rsidR="00C63A04" w:rsidRPr="00941695">
        <w:rPr>
          <w:bCs/>
          <w:iCs/>
          <w:szCs w:val="24"/>
        </w:rPr>
        <w:t xml:space="preserve">of </w:t>
      </w:r>
      <w:r w:rsidRPr="00941695">
        <w:rPr>
          <w:bCs/>
          <w:iCs/>
          <w:szCs w:val="24"/>
        </w:rPr>
        <w:t xml:space="preserve">the fuel oil burners to natural gas </w:t>
      </w:r>
      <w:r w:rsidR="00D20652" w:rsidRPr="00941695">
        <w:rPr>
          <w:bCs/>
          <w:iCs/>
          <w:szCs w:val="24"/>
        </w:rPr>
        <w:t xml:space="preserve">burners </w:t>
      </w:r>
      <w:r w:rsidRPr="00941695">
        <w:rPr>
          <w:bCs/>
          <w:iCs/>
          <w:szCs w:val="24"/>
        </w:rPr>
        <w:t xml:space="preserve">on </w:t>
      </w:r>
      <w:r w:rsidRPr="00941695">
        <w:rPr>
          <w:szCs w:val="24"/>
        </w:rPr>
        <w:t xml:space="preserve">Cogen Boilers #6 and #7 </w:t>
      </w:r>
      <w:r w:rsidRPr="00941695">
        <w:rPr>
          <w:bCs/>
          <w:iCs/>
          <w:szCs w:val="24"/>
        </w:rPr>
        <w:t>results in the net reduction of SO</w:t>
      </w:r>
      <w:r w:rsidRPr="00941695">
        <w:rPr>
          <w:bCs/>
          <w:iCs/>
          <w:szCs w:val="24"/>
          <w:vertAlign w:val="subscript"/>
        </w:rPr>
        <w:t>2</w:t>
      </w:r>
      <w:r w:rsidRPr="00941695">
        <w:rPr>
          <w:bCs/>
          <w:iCs/>
          <w:szCs w:val="24"/>
        </w:rPr>
        <w:t xml:space="preserve"> and NO</w:t>
      </w:r>
      <w:r w:rsidRPr="00941695">
        <w:rPr>
          <w:bCs/>
          <w:iCs/>
          <w:szCs w:val="24"/>
          <w:vertAlign w:val="subscript"/>
        </w:rPr>
        <w:t>x</w:t>
      </w:r>
      <w:r w:rsidRPr="00941695">
        <w:rPr>
          <w:bCs/>
          <w:iCs/>
          <w:szCs w:val="24"/>
        </w:rPr>
        <w:t xml:space="preserve"> emissions</w:t>
      </w:r>
      <w:r w:rsidR="00D20652" w:rsidRPr="00941695">
        <w:rPr>
          <w:bCs/>
          <w:iCs/>
          <w:szCs w:val="24"/>
        </w:rPr>
        <w:t xml:space="preserve">; </w:t>
      </w:r>
      <w:r w:rsidR="003A45DD" w:rsidRPr="00941695">
        <w:rPr>
          <w:bCs/>
          <w:iCs/>
          <w:szCs w:val="24"/>
        </w:rPr>
        <w:t>therefore, this modification must meet the standard of BPT as opposed to BACT for those two pollutants, pursuant to 06-096 C.M.R. ch. 115, § 4(A)(4)(d).</w:t>
      </w:r>
    </w:p>
    <w:p w14:paraId="6ED88709" w14:textId="77777777" w:rsidR="009D4B91" w:rsidRDefault="009D4B91" w:rsidP="009D4B91">
      <w:pPr>
        <w:ind w:left="1080"/>
        <w:rPr>
          <w:szCs w:val="24"/>
        </w:rPr>
      </w:pPr>
    </w:p>
    <w:p w14:paraId="03C1459B" w14:textId="77777777" w:rsidR="009D4B91" w:rsidRPr="00941695" w:rsidRDefault="009D4B91" w:rsidP="00941695">
      <w:pPr>
        <w:pStyle w:val="ListParagraph"/>
        <w:numPr>
          <w:ilvl w:val="0"/>
          <w:numId w:val="29"/>
        </w:numPr>
        <w:rPr>
          <w:u w:val="single"/>
        </w:rPr>
      </w:pPr>
      <w:r w:rsidRPr="00941695">
        <w:rPr>
          <w:u w:val="single"/>
        </w:rPr>
        <w:t>Particulate Matter (PM, PM</w:t>
      </w:r>
      <w:r w:rsidRPr="00941695">
        <w:rPr>
          <w:u w:val="single"/>
          <w:vertAlign w:val="subscript"/>
        </w:rPr>
        <w:t>10</w:t>
      </w:r>
      <w:r w:rsidRPr="00941695">
        <w:rPr>
          <w:u w:val="single"/>
        </w:rPr>
        <w:t>, PM</w:t>
      </w:r>
      <w:r w:rsidRPr="00941695">
        <w:rPr>
          <w:u w:val="single"/>
          <w:vertAlign w:val="subscript"/>
        </w:rPr>
        <w:t>2.5</w:t>
      </w:r>
      <w:r w:rsidRPr="00941695">
        <w:rPr>
          <w:u w:val="single"/>
        </w:rPr>
        <w:t>)</w:t>
      </w:r>
    </w:p>
    <w:p w14:paraId="2897FCFD" w14:textId="77777777" w:rsidR="009D4B91" w:rsidRDefault="009D4B91" w:rsidP="009D4B91">
      <w:pPr>
        <w:rPr>
          <w:u w:val="single"/>
        </w:rPr>
      </w:pPr>
    </w:p>
    <w:p w14:paraId="317C4B42" w14:textId="7AA04108" w:rsidR="00817426" w:rsidRDefault="00817426" w:rsidP="008F177A">
      <w:pPr>
        <w:ind w:left="1440"/>
      </w:pPr>
      <w:r w:rsidRPr="00817426">
        <w:t xml:space="preserve">Particulate matter (PM) emissions from </w:t>
      </w:r>
      <w:r w:rsidR="008F177A">
        <w:t>Circulating Fluidized Bed (</w:t>
      </w:r>
      <w:r w:rsidRPr="00817426">
        <w:t>CFB</w:t>
      </w:r>
      <w:r w:rsidR="008F177A">
        <w:t>)</w:t>
      </w:r>
      <w:r w:rsidRPr="00817426">
        <w:t xml:space="preserve"> boilers are generated from the combustion of fuel. Natural gas</w:t>
      </w:r>
      <w:r>
        <w:t xml:space="preserve"> </w:t>
      </w:r>
      <w:r w:rsidRPr="00817426">
        <w:t>is an inherently clean fuel with low ash content and will have a short-term reduction in PM emissions from</w:t>
      </w:r>
      <w:r>
        <w:t xml:space="preserve"> </w:t>
      </w:r>
      <w:r w:rsidRPr="00817426">
        <w:t xml:space="preserve">the units. Both Cogen Boilers are currently equipped with a combination of </w:t>
      </w:r>
      <w:r w:rsidRPr="007E7F1F">
        <w:t xml:space="preserve">mechanical collector multicyclones and an ESP which allows the boilers to meet a </w:t>
      </w:r>
      <w:r w:rsidR="007E7F1F" w:rsidRPr="007E7F1F">
        <w:t>particulate matter</w:t>
      </w:r>
      <w:r w:rsidRPr="007E7F1F">
        <w:t xml:space="preserve"> emissions limit of 0.0074 lb/MMBtu. The</w:t>
      </w:r>
      <w:r w:rsidRPr="00817426">
        <w:t xml:space="preserve"> only methodology for further</w:t>
      </w:r>
      <w:r>
        <w:t xml:space="preserve"> </w:t>
      </w:r>
      <w:r w:rsidRPr="00817426">
        <w:t>reducing PM emissions from the Cogen Boilers is through add-on pollution control. Potential pollution</w:t>
      </w:r>
      <w:r>
        <w:t xml:space="preserve"> </w:t>
      </w:r>
      <w:r w:rsidRPr="00817426">
        <w:t>control options include baghouses, dry electrostatic precipitators</w:t>
      </w:r>
      <w:r w:rsidR="008F177A">
        <w:t> </w:t>
      </w:r>
      <w:r w:rsidRPr="00817426">
        <w:t>(ESP), wet ESP, multi-cyclones,</w:t>
      </w:r>
      <w:r>
        <w:t xml:space="preserve"> </w:t>
      </w:r>
      <w:r w:rsidRPr="00817426">
        <w:t>biofiltration, and wet scrubber systems.</w:t>
      </w:r>
    </w:p>
    <w:p w14:paraId="60B22F64" w14:textId="77777777" w:rsidR="008F177A" w:rsidRDefault="008F177A" w:rsidP="008F177A">
      <w:pPr>
        <w:ind w:left="1440"/>
      </w:pPr>
    </w:p>
    <w:p w14:paraId="0185D257" w14:textId="77777777" w:rsidR="008F177A" w:rsidRDefault="008F177A" w:rsidP="008F177A">
      <w:pPr>
        <w:ind w:left="1440"/>
      </w:pPr>
      <w:r w:rsidRPr="008F177A">
        <w:t>Dry electrostatic precipitators (dry ESP) control PM emissions using the force of an induced electrostatic</w:t>
      </w:r>
      <w:r>
        <w:t xml:space="preserve"> </w:t>
      </w:r>
      <w:r w:rsidRPr="008F177A">
        <w:t>charge. The particulate particles in the exhaust stream are negatively charged using high voltage electrodes</w:t>
      </w:r>
      <w:r>
        <w:t xml:space="preserve"> </w:t>
      </w:r>
      <w:r w:rsidRPr="008F177A">
        <w:t>and then drawn onto a positively charged collection surface. At periodic intervals, the collection surfaces</w:t>
      </w:r>
      <w:r>
        <w:t xml:space="preserve"> </w:t>
      </w:r>
      <w:r w:rsidRPr="008F177A">
        <w:t>(plates) are cleaned by electromagnetic “rappers” that deliver a blow to the surface header creating a vertical</w:t>
      </w:r>
      <w:r>
        <w:t xml:space="preserve"> </w:t>
      </w:r>
      <w:r w:rsidRPr="008F177A">
        <w:t>shock wave that causes the collected particulate to dislodge and fall into the hopper below. Dry ESPs are a</w:t>
      </w:r>
      <w:r>
        <w:t xml:space="preserve"> </w:t>
      </w:r>
      <w:r w:rsidRPr="008F177A">
        <w:t>technically feasible control technology and are currently installed on the Cogen Boilers</w:t>
      </w:r>
      <w:r>
        <w:t xml:space="preserve"> #6 and #7</w:t>
      </w:r>
      <w:r w:rsidRPr="008F177A">
        <w:t>.</w:t>
      </w:r>
    </w:p>
    <w:p w14:paraId="164006B7" w14:textId="77777777" w:rsidR="008F177A" w:rsidRDefault="008F177A" w:rsidP="008F177A">
      <w:pPr>
        <w:ind w:left="1440"/>
      </w:pPr>
    </w:p>
    <w:p w14:paraId="6279FEF0" w14:textId="70A28211" w:rsidR="009D4B91" w:rsidRDefault="008F177A" w:rsidP="008F177A">
      <w:pPr>
        <w:ind w:left="1440"/>
      </w:pPr>
      <w:r w:rsidRPr="008F177A">
        <w:t>Similar to a dry ESP, a wet ESP removes fine particulate matter including aerosols using ionization and an</w:t>
      </w:r>
      <w:r>
        <w:t xml:space="preserve"> </w:t>
      </w:r>
      <w:r w:rsidRPr="008F177A">
        <w:t xml:space="preserve">electric field where particles in the exhaust stream are </w:t>
      </w:r>
      <w:r w:rsidRPr="008F177A">
        <w:lastRenderedPageBreak/>
        <w:t>negatively charged and then adhere onto a positively</w:t>
      </w:r>
      <w:r>
        <w:t xml:space="preserve"> </w:t>
      </w:r>
      <w:r w:rsidRPr="008F177A">
        <w:t>charged collection surface. However, rather than mechanical impulses or vibrations to dislodge particles</w:t>
      </w:r>
      <w:r>
        <w:t xml:space="preserve"> </w:t>
      </w:r>
      <w:r w:rsidRPr="008F177A">
        <w:t>from the plates, in wet ESPs the collector plates are cleaned with water. This happens by combination of</w:t>
      </w:r>
      <w:r>
        <w:t xml:space="preserve"> </w:t>
      </w:r>
      <w:r w:rsidRPr="008F177A">
        <w:t>condensation from the process gas and periodic flush cycles from a matrix of overhead nozzles. Wet ESPs</w:t>
      </w:r>
      <w:r>
        <w:t xml:space="preserve"> </w:t>
      </w:r>
      <w:r w:rsidRPr="008F177A">
        <w:t>produce blow-down water waste that requires disposal. There is also caustic and defoamer addition required</w:t>
      </w:r>
      <w:r>
        <w:t xml:space="preserve"> </w:t>
      </w:r>
      <w:r w:rsidRPr="008F177A">
        <w:t>for the process water. Wet ESPs are technically feasible control technology.</w:t>
      </w:r>
      <w:r>
        <w:t xml:space="preserve"> </w:t>
      </w:r>
    </w:p>
    <w:p w14:paraId="24A2B9DB" w14:textId="77777777" w:rsidR="008F177A" w:rsidRDefault="008F177A" w:rsidP="008F177A">
      <w:pPr>
        <w:ind w:left="1440"/>
      </w:pPr>
    </w:p>
    <w:p w14:paraId="2A06D8EF" w14:textId="75D17C20" w:rsidR="008F177A" w:rsidRDefault="008F177A" w:rsidP="008F177A">
      <w:pPr>
        <w:ind w:left="1440"/>
      </w:pPr>
      <w:r w:rsidRPr="008F177A">
        <w:t>Biofiltration uses a biological process to capture and mitigate particulate matter emissions in which exhaust</w:t>
      </w:r>
      <w:r>
        <w:t xml:space="preserve"> </w:t>
      </w:r>
      <w:r w:rsidRPr="008F177A">
        <w:t>streams are directed through a filter bed containing microorganisms, such as bacteria and fungi, which act</w:t>
      </w:r>
      <w:r>
        <w:t xml:space="preserve"> </w:t>
      </w:r>
      <w:r w:rsidRPr="008F177A">
        <w:t>as active agents in capturing, degrading, and/or metabolizing the particulate matter. The biological process</w:t>
      </w:r>
      <w:r>
        <w:t xml:space="preserve"> </w:t>
      </w:r>
      <w:r w:rsidRPr="008F177A">
        <w:t>transforms the pollutants into largely harmless byproducts. The major advantage of biofiltration as a</w:t>
      </w:r>
      <w:r>
        <w:t xml:space="preserve"> </w:t>
      </w:r>
      <w:r w:rsidRPr="008F177A">
        <w:t>particulate matter emissions control device is its sustainability and environmental friendliness. Unlike the</w:t>
      </w:r>
      <w:r>
        <w:t xml:space="preserve"> </w:t>
      </w:r>
      <w:r w:rsidRPr="008F177A">
        <w:t>conventional methods described above, biofiltration does not rely on chemical agents or produce secondary</w:t>
      </w:r>
      <w:r>
        <w:t xml:space="preserve"> </w:t>
      </w:r>
      <w:r w:rsidRPr="008F177A">
        <w:t>pollutants, making it a greener alternative. The effectiveness of biofiltration depends on various factors,</w:t>
      </w:r>
      <w:r>
        <w:t xml:space="preserve"> </w:t>
      </w:r>
      <w:r w:rsidRPr="008F177A">
        <w:t>including the choice of microorganisms, the composition of the filter bed, and the specific characteristics of</w:t>
      </w:r>
      <w:r>
        <w:t xml:space="preserve"> </w:t>
      </w:r>
      <w:r w:rsidRPr="008F177A">
        <w:t>the particulate matter being targeted. Continuous research and development in this field aim to optimize</w:t>
      </w:r>
      <w:r>
        <w:t xml:space="preserve"> </w:t>
      </w:r>
      <w:r w:rsidRPr="008F177A">
        <w:t>biofiltration systems for enhanced performance and broader applicability in controlling particulate matter</w:t>
      </w:r>
      <w:r>
        <w:t xml:space="preserve"> </w:t>
      </w:r>
      <w:r w:rsidRPr="008F177A">
        <w:t>emissions. Currently, biofiltration has not been proven as an effective pollution control device for these</w:t>
      </w:r>
      <w:r>
        <w:t xml:space="preserve"> </w:t>
      </w:r>
      <w:r w:rsidRPr="008F177A">
        <w:t>types of combustion devices</w:t>
      </w:r>
      <w:r w:rsidR="00BC4DC5">
        <w:t>;</w:t>
      </w:r>
      <w:r w:rsidR="00BC4DC5" w:rsidRPr="008F177A">
        <w:t xml:space="preserve"> </w:t>
      </w:r>
      <w:r w:rsidRPr="008F177A">
        <w:t>therefore</w:t>
      </w:r>
      <w:r w:rsidR="00BC4DC5">
        <w:t>,</w:t>
      </w:r>
      <w:r w:rsidRPr="008F177A">
        <w:t xml:space="preserve"> it will not be evaluated further.</w:t>
      </w:r>
    </w:p>
    <w:p w14:paraId="0F561076" w14:textId="77777777" w:rsidR="008F177A" w:rsidRDefault="008F177A" w:rsidP="008F177A">
      <w:pPr>
        <w:ind w:left="1440"/>
      </w:pPr>
    </w:p>
    <w:p w14:paraId="6E926A93" w14:textId="5DF1ADD4" w:rsidR="008F177A" w:rsidRPr="008F177A" w:rsidRDefault="008F177A" w:rsidP="008F177A">
      <w:pPr>
        <w:ind w:left="1440"/>
      </w:pPr>
      <w:r w:rsidRPr="008F177A">
        <w:t>Cyclones and multi-cyclones are relatively simple devices which leverage centripetal force to separate</w:t>
      </w:r>
      <w:r>
        <w:t xml:space="preserve"> </w:t>
      </w:r>
      <w:r w:rsidRPr="008F177A">
        <w:t>particles from gas streams. The incoming exhaust gas gains high velocity upon entering the cyclone at the</w:t>
      </w:r>
      <w:r>
        <w:t xml:space="preserve"> </w:t>
      </w:r>
      <w:r w:rsidRPr="008F177A">
        <w:t>top inner wall. Gravity then guides the spinning gas downward, and the tapered design of the cyclone body</w:t>
      </w:r>
      <w:r>
        <w:t xml:space="preserve"> </w:t>
      </w:r>
      <w:r w:rsidRPr="008F177A">
        <w:t>sustains the cyclonic effect until particles drop out through the bottom into a hopper. Constructed typically</w:t>
      </w:r>
      <w:r>
        <w:t xml:space="preserve"> </w:t>
      </w:r>
      <w:r w:rsidRPr="008F177A">
        <w:t>from sheet metal, cyclones boast low capital costs, minimal operating expenses, and no moving parts. Multicyclones,</w:t>
      </w:r>
      <w:r>
        <w:t xml:space="preserve"> </w:t>
      </w:r>
      <w:r w:rsidRPr="008F177A">
        <w:t>consisting of smaller diameter units operating in parallel or series, adhere to the same operational</w:t>
      </w:r>
    </w:p>
    <w:p w14:paraId="7BB07009" w14:textId="4358BBE9" w:rsidR="008F177A" w:rsidRDefault="008F177A" w:rsidP="008F177A">
      <w:pPr>
        <w:ind w:left="1440"/>
      </w:pPr>
      <w:r w:rsidRPr="008F177A">
        <w:t>principles as single cyclones but aim for high-efficiency PM collection. Cyclones are a technically feasible</w:t>
      </w:r>
      <w:r>
        <w:t xml:space="preserve"> </w:t>
      </w:r>
      <w:r w:rsidRPr="008F177A">
        <w:t>control technology and are currently installed on Cogen Boilers</w:t>
      </w:r>
      <w:r>
        <w:t xml:space="preserve"> #6 and #7</w:t>
      </w:r>
      <w:r w:rsidRPr="008F177A">
        <w:t>.</w:t>
      </w:r>
    </w:p>
    <w:p w14:paraId="4D9B4B09" w14:textId="77777777" w:rsidR="008F177A" w:rsidRDefault="008F177A" w:rsidP="008F177A">
      <w:pPr>
        <w:ind w:left="1440"/>
        <w:rPr>
          <w:szCs w:val="24"/>
          <w:u w:val="single"/>
        </w:rPr>
      </w:pPr>
    </w:p>
    <w:p w14:paraId="76CFC73F" w14:textId="77777777" w:rsidR="008F177A" w:rsidRDefault="008F177A" w:rsidP="008F177A">
      <w:pPr>
        <w:ind w:left="1440"/>
        <w:rPr>
          <w:szCs w:val="24"/>
        </w:rPr>
      </w:pPr>
      <w:r w:rsidRPr="008F177A">
        <w:rPr>
          <w:szCs w:val="24"/>
        </w:rPr>
        <w:t>The effectiveness for wet ESPs, dry ESPs, and wet scrubbers are all theoretically able to achieve 99% control</w:t>
      </w:r>
      <w:r>
        <w:rPr>
          <w:szCs w:val="24"/>
        </w:rPr>
        <w:t xml:space="preserve"> </w:t>
      </w:r>
      <w:r w:rsidRPr="008F177A">
        <w:rPr>
          <w:szCs w:val="24"/>
        </w:rPr>
        <w:t>efficiency. However, both wet ESPs and wet scrubbers generate a wastewater stream that requires treatment</w:t>
      </w:r>
      <w:r>
        <w:rPr>
          <w:szCs w:val="24"/>
        </w:rPr>
        <w:t xml:space="preserve"> </w:t>
      </w:r>
      <w:r w:rsidRPr="008F177A">
        <w:rPr>
          <w:szCs w:val="24"/>
        </w:rPr>
        <w:t>and eventual disposal, therefore they have an incrementally negative environmental impact as compared to</w:t>
      </w:r>
      <w:r>
        <w:rPr>
          <w:szCs w:val="24"/>
        </w:rPr>
        <w:t xml:space="preserve"> </w:t>
      </w:r>
      <w:r w:rsidRPr="008F177A">
        <w:rPr>
          <w:szCs w:val="24"/>
        </w:rPr>
        <w:t>dry ESPs. The use of a multi-cyclone system followed by a dry ESP, as currently installed on the Cogen</w:t>
      </w:r>
      <w:r>
        <w:rPr>
          <w:szCs w:val="24"/>
        </w:rPr>
        <w:t xml:space="preserve"> </w:t>
      </w:r>
      <w:r w:rsidRPr="008F177A">
        <w:rPr>
          <w:szCs w:val="24"/>
        </w:rPr>
        <w:t>Boilers, has been demonstrated to be even more effective than any of the add-on control technologies alone.</w:t>
      </w:r>
      <w:r>
        <w:rPr>
          <w:szCs w:val="24"/>
        </w:rPr>
        <w:t xml:space="preserve"> </w:t>
      </w:r>
      <w:r w:rsidRPr="008F177A">
        <w:rPr>
          <w:szCs w:val="24"/>
        </w:rPr>
        <w:t xml:space="preserve">Furthermore, given the small </w:t>
      </w:r>
      <w:r w:rsidRPr="008F177A">
        <w:rPr>
          <w:szCs w:val="24"/>
        </w:rPr>
        <w:lastRenderedPageBreak/>
        <w:t>PM</w:t>
      </w:r>
      <w:r w:rsidRPr="00EB2AA3">
        <w:rPr>
          <w:szCs w:val="24"/>
          <w:vertAlign w:val="subscript"/>
        </w:rPr>
        <w:t>10</w:t>
      </w:r>
      <w:r w:rsidRPr="008F177A">
        <w:rPr>
          <w:szCs w:val="24"/>
        </w:rPr>
        <w:t xml:space="preserve"> and PM</w:t>
      </w:r>
      <w:r w:rsidRPr="00EB2AA3">
        <w:rPr>
          <w:szCs w:val="24"/>
          <w:vertAlign w:val="subscript"/>
        </w:rPr>
        <w:t>2.5</w:t>
      </w:r>
      <w:r w:rsidRPr="008F177A">
        <w:rPr>
          <w:szCs w:val="24"/>
        </w:rPr>
        <w:t xml:space="preserve"> annual emissions increase due to this project (~0.3 TPY), the</w:t>
      </w:r>
      <w:r>
        <w:rPr>
          <w:szCs w:val="24"/>
        </w:rPr>
        <w:t xml:space="preserve"> </w:t>
      </w:r>
      <w:r w:rsidRPr="008F177A">
        <w:rPr>
          <w:szCs w:val="24"/>
        </w:rPr>
        <w:t>installation of additional pollution control measures would not be economically feasible.</w:t>
      </w:r>
      <w:r>
        <w:rPr>
          <w:szCs w:val="24"/>
        </w:rPr>
        <w:t xml:space="preserve"> </w:t>
      </w:r>
    </w:p>
    <w:p w14:paraId="6AF53F2D" w14:textId="77777777" w:rsidR="008F177A" w:rsidRDefault="008F177A" w:rsidP="008F177A">
      <w:pPr>
        <w:ind w:left="1440"/>
        <w:rPr>
          <w:szCs w:val="24"/>
        </w:rPr>
      </w:pPr>
    </w:p>
    <w:p w14:paraId="7B14A4AA" w14:textId="4D11E3F4" w:rsidR="008F177A" w:rsidRDefault="00AB0FEA" w:rsidP="008F177A">
      <w:pPr>
        <w:ind w:left="1440"/>
        <w:rPr>
          <w:szCs w:val="24"/>
        </w:rPr>
      </w:pPr>
      <w:r>
        <w:rPr>
          <w:szCs w:val="24"/>
        </w:rPr>
        <w:t>The Department finds</w:t>
      </w:r>
      <w:r w:rsidR="008F177A" w:rsidRPr="008F177A">
        <w:rPr>
          <w:szCs w:val="24"/>
        </w:rPr>
        <w:t xml:space="preserve"> that maintaining the existing PM emission limits</w:t>
      </w:r>
      <w:r w:rsidR="008E78F9">
        <w:rPr>
          <w:szCs w:val="24"/>
        </w:rPr>
        <w:t xml:space="preserve"> </w:t>
      </w:r>
      <w:r>
        <w:rPr>
          <w:szCs w:val="24"/>
        </w:rPr>
        <w:t>specified</w:t>
      </w:r>
      <w:r w:rsidR="008E78F9">
        <w:rPr>
          <w:szCs w:val="24"/>
        </w:rPr>
        <w:t xml:space="preserve"> in the facility’s Part 70 </w:t>
      </w:r>
      <w:r>
        <w:rPr>
          <w:szCs w:val="24"/>
        </w:rPr>
        <w:t>license</w:t>
      </w:r>
      <w:r w:rsidR="008F177A" w:rsidRPr="008F177A">
        <w:rPr>
          <w:szCs w:val="24"/>
        </w:rPr>
        <w:t xml:space="preserve"> and the continued use</w:t>
      </w:r>
      <w:r w:rsidR="008F177A">
        <w:rPr>
          <w:szCs w:val="24"/>
        </w:rPr>
        <w:t xml:space="preserve"> </w:t>
      </w:r>
      <w:r w:rsidR="008F177A" w:rsidRPr="008F177A">
        <w:rPr>
          <w:szCs w:val="24"/>
        </w:rPr>
        <w:t>of multi-cyclones in conjunction with dry ESPs represents BACT for PM emissions from Cogen Boilers</w:t>
      </w:r>
      <w:r w:rsidR="008F177A">
        <w:rPr>
          <w:szCs w:val="24"/>
        </w:rPr>
        <w:t xml:space="preserve"> #6 and #7</w:t>
      </w:r>
      <w:r w:rsidR="008F177A" w:rsidRPr="008F177A">
        <w:rPr>
          <w:szCs w:val="24"/>
        </w:rPr>
        <w:t>.</w:t>
      </w:r>
    </w:p>
    <w:p w14:paraId="550899D8" w14:textId="77777777" w:rsidR="008F177A" w:rsidRPr="008F177A" w:rsidRDefault="008F177A" w:rsidP="008F177A">
      <w:pPr>
        <w:ind w:left="1440"/>
        <w:rPr>
          <w:szCs w:val="24"/>
        </w:rPr>
      </w:pPr>
    </w:p>
    <w:p w14:paraId="7D362B67" w14:textId="77777777" w:rsidR="009D4B91" w:rsidRPr="0074481B" w:rsidRDefault="009D4B91" w:rsidP="009D4B91">
      <w:pPr>
        <w:pStyle w:val="ListParagraph"/>
        <w:numPr>
          <w:ilvl w:val="0"/>
          <w:numId w:val="29"/>
        </w:numPr>
        <w:rPr>
          <w:u w:val="single"/>
        </w:rPr>
      </w:pPr>
      <w:r w:rsidRPr="0074481B">
        <w:rPr>
          <w:u w:val="single"/>
        </w:rPr>
        <w:t>Sulfur Dioxide</w:t>
      </w:r>
      <w:r>
        <w:rPr>
          <w:u w:val="single"/>
        </w:rPr>
        <w:t xml:space="preserve"> (SO</w:t>
      </w:r>
      <w:r>
        <w:rPr>
          <w:u w:val="single"/>
          <w:vertAlign w:val="subscript"/>
        </w:rPr>
        <w:t>2</w:t>
      </w:r>
      <w:r>
        <w:rPr>
          <w:u w:val="single"/>
        </w:rPr>
        <w:t>)</w:t>
      </w:r>
    </w:p>
    <w:p w14:paraId="222C160A" w14:textId="77777777" w:rsidR="009D4B91" w:rsidRDefault="009D4B91" w:rsidP="009D4B91">
      <w:pPr>
        <w:rPr>
          <w:b/>
          <w:i/>
          <w:szCs w:val="24"/>
        </w:rPr>
      </w:pPr>
    </w:p>
    <w:p w14:paraId="02BAB2D9" w14:textId="06B69C3E" w:rsidR="00186D72" w:rsidRPr="00186D72" w:rsidRDefault="00186D72" w:rsidP="00186D72">
      <w:pPr>
        <w:ind w:left="1440"/>
        <w:rPr>
          <w:bCs/>
          <w:iCs/>
          <w:szCs w:val="24"/>
        </w:rPr>
      </w:pPr>
      <w:r w:rsidRPr="00186D72">
        <w:rPr>
          <w:bCs/>
          <w:iCs/>
          <w:szCs w:val="24"/>
        </w:rPr>
        <w:t>Sulfur dioxide (SO</w:t>
      </w:r>
      <w:r w:rsidRPr="00EB2AA3">
        <w:rPr>
          <w:bCs/>
          <w:iCs/>
          <w:szCs w:val="24"/>
          <w:vertAlign w:val="subscript"/>
        </w:rPr>
        <w:t>2</w:t>
      </w:r>
      <w:r w:rsidRPr="00186D72">
        <w:rPr>
          <w:bCs/>
          <w:iCs/>
          <w:szCs w:val="24"/>
        </w:rPr>
        <w:t>) is formed from the oxidation of sulfur contained in fuel. Natural gas is an inherently low</w:t>
      </w:r>
      <w:r>
        <w:rPr>
          <w:bCs/>
          <w:iCs/>
          <w:szCs w:val="24"/>
        </w:rPr>
        <w:t xml:space="preserve"> </w:t>
      </w:r>
      <w:r w:rsidRPr="00186D72">
        <w:rPr>
          <w:bCs/>
          <w:iCs/>
          <w:szCs w:val="24"/>
        </w:rPr>
        <w:t>sulfur content fuel resulting in very low SO</w:t>
      </w:r>
      <w:r w:rsidRPr="00EB2AA3">
        <w:rPr>
          <w:bCs/>
          <w:iCs/>
          <w:szCs w:val="24"/>
          <w:vertAlign w:val="subscript"/>
        </w:rPr>
        <w:t>2</w:t>
      </w:r>
      <w:r w:rsidRPr="00186D72">
        <w:rPr>
          <w:bCs/>
          <w:iCs/>
          <w:szCs w:val="24"/>
        </w:rPr>
        <w:t xml:space="preserve"> emissions without the need for additional controls. The Cogen</w:t>
      </w:r>
      <w:r>
        <w:rPr>
          <w:bCs/>
          <w:iCs/>
          <w:szCs w:val="24"/>
        </w:rPr>
        <w:t xml:space="preserve"> </w:t>
      </w:r>
      <w:r w:rsidRPr="00186D72">
        <w:rPr>
          <w:bCs/>
          <w:iCs/>
          <w:szCs w:val="24"/>
        </w:rPr>
        <w:t>Boilers are equipped with circulating limestone beds designed to achieve a 90% reduction in sulfur.</w:t>
      </w:r>
      <w:r>
        <w:rPr>
          <w:bCs/>
          <w:iCs/>
          <w:szCs w:val="24"/>
        </w:rPr>
        <w:t xml:space="preserve"> </w:t>
      </w:r>
      <w:r w:rsidRPr="00186D72">
        <w:rPr>
          <w:bCs/>
          <w:iCs/>
          <w:szCs w:val="24"/>
        </w:rPr>
        <w:t>Potential control strategies for sulfur emissions include the use of sulfur-absorbing bed compounds such</w:t>
      </w:r>
      <w:r>
        <w:rPr>
          <w:bCs/>
          <w:iCs/>
          <w:szCs w:val="24"/>
        </w:rPr>
        <w:t xml:space="preserve"> </w:t>
      </w:r>
      <w:r w:rsidRPr="00186D72">
        <w:rPr>
          <w:bCs/>
          <w:iCs/>
          <w:szCs w:val="24"/>
        </w:rPr>
        <w:t>as limestone or dolomite, flue gas desulfurization (FGD), acid gas scrubbers, the use of alternative fuels,</w:t>
      </w:r>
      <w:r>
        <w:rPr>
          <w:bCs/>
          <w:iCs/>
          <w:szCs w:val="24"/>
        </w:rPr>
        <w:t xml:space="preserve"> </w:t>
      </w:r>
      <w:r w:rsidRPr="00186D72">
        <w:rPr>
          <w:bCs/>
          <w:iCs/>
          <w:szCs w:val="24"/>
        </w:rPr>
        <w:t>and good combustion practices. Installation of add-on SO</w:t>
      </w:r>
      <w:r w:rsidRPr="00186D72">
        <w:rPr>
          <w:rFonts w:hint="eastAsia"/>
          <w:bCs/>
          <w:iCs/>
          <w:szCs w:val="24"/>
        </w:rPr>
        <w:t>₂</w:t>
      </w:r>
      <w:r w:rsidRPr="00186D72">
        <w:rPr>
          <w:bCs/>
          <w:iCs/>
          <w:szCs w:val="24"/>
        </w:rPr>
        <w:t xml:space="preserve"> controls (e.g., FGD or acid gas scrubber) are</w:t>
      </w:r>
      <w:r>
        <w:rPr>
          <w:bCs/>
          <w:iCs/>
          <w:szCs w:val="24"/>
        </w:rPr>
        <w:t xml:space="preserve"> </w:t>
      </w:r>
      <w:r w:rsidRPr="00186D72">
        <w:rPr>
          <w:bCs/>
          <w:iCs/>
          <w:szCs w:val="24"/>
        </w:rPr>
        <w:t>potentially technically feasible but not economically justified given the negligible SO</w:t>
      </w:r>
      <w:r w:rsidRPr="00186D72">
        <w:rPr>
          <w:rFonts w:hint="eastAsia"/>
          <w:bCs/>
          <w:iCs/>
          <w:szCs w:val="24"/>
        </w:rPr>
        <w:t>₂</w:t>
      </w:r>
      <w:r w:rsidRPr="00186D72">
        <w:rPr>
          <w:bCs/>
          <w:iCs/>
          <w:szCs w:val="24"/>
        </w:rPr>
        <w:t xml:space="preserve"> emission rate from</w:t>
      </w:r>
      <w:r>
        <w:rPr>
          <w:bCs/>
          <w:iCs/>
          <w:szCs w:val="24"/>
        </w:rPr>
        <w:t xml:space="preserve"> </w:t>
      </w:r>
      <w:r w:rsidRPr="00186D72">
        <w:rPr>
          <w:bCs/>
          <w:iCs/>
          <w:szCs w:val="24"/>
        </w:rPr>
        <w:t>natural gas. Natural gas has the lowest sulfur content out of the feasible auxiliary fuel stream options.</w:t>
      </w:r>
      <w:r>
        <w:rPr>
          <w:bCs/>
          <w:iCs/>
          <w:szCs w:val="24"/>
        </w:rPr>
        <w:t xml:space="preserve"> </w:t>
      </w:r>
      <w:r w:rsidRPr="00186D72">
        <w:rPr>
          <w:bCs/>
          <w:iCs/>
          <w:szCs w:val="24"/>
        </w:rPr>
        <w:t xml:space="preserve">Therefore, </w:t>
      </w:r>
      <w:r w:rsidR="00F23166">
        <w:rPr>
          <w:bCs/>
          <w:iCs/>
          <w:szCs w:val="24"/>
        </w:rPr>
        <w:t xml:space="preserve">the Department finds </w:t>
      </w:r>
      <w:r w:rsidRPr="00186D72">
        <w:rPr>
          <w:bCs/>
          <w:iCs/>
          <w:szCs w:val="24"/>
        </w:rPr>
        <w:t>that maintaining the existing SO</w:t>
      </w:r>
      <w:r w:rsidRPr="00EB2AA3">
        <w:rPr>
          <w:bCs/>
          <w:iCs/>
          <w:szCs w:val="24"/>
          <w:vertAlign w:val="subscript"/>
        </w:rPr>
        <w:t>2</w:t>
      </w:r>
      <w:r w:rsidRPr="00186D72">
        <w:rPr>
          <w:bCs/>
          <w:iCs/>
          <w:szCs w:val="24"/>
        </w:rPr>
        <w:t xml:space="preserve"> emission limits, use of the circulating</w:t>
      </w:r>
      <w:r>
        <w:rPr>
          <w:bCs/>
          <w:iCs/>
          <w:szCs w:val="24"/>
        </w:rPr>
        <w:t xml:space="preserve"> </w:t>
      </w:r>
      <w:r w:rsidRPr="00186D72">
        <w:rPr>
          <w:bCs/>
          <w:iCs/>
          <w:szCs w:val="24"/>
        </w:rPr>
        <w:t>limestone beds to achieve a 90% sulfur reduction, and the use of an inherently low sulfur fuel represents</w:t>
      </w:r>
      <w:r>
        <w:rPr>
          <w:bCs/>
          <w:iCs/>
          <w:szCs w:val="24"/>
        </w:rPr>
        <w:t xml:space="preserve"> </w:t>
      </w:r>
      <w:r w:rsidRPr="00186D72">
        <w:rPr>
          <w:bCs/>
          <w:iCs/>
          <w:szCs w:val="24"/>
        </w:rPr>
        <w:t>BPT for SO</w:t>
      </w:r>
      <w:r w:rsidRPr="00EB2AA3">
        <w:rPr>
          <w:bCs/>
          <w:iCs/>
          <w:szCs w:val="24"/>
          <w:vertAlign w:val="subscript"/>
        </w:rPr>
        <w:t>2</w:t>
      </w:r>
      <w:r w:rsidRPr="00186D72">
        <w:rPr>
          <w:bCs/>
          <w:iCs/>
          <w:szCs w:val="24"/>
        </w:rPr>
        <w:t xml:space="preserve"> emissions</w:t>
      </w:r>
      <w:r w:rsidR="00F23166">
        <w:rPr>
          <w:bCs/>
          <w:iCs/>
          <w:szCs w:val="24"/>
        </w:rPr>
        <w:t xml:space="preserve"> from this project</w:t>
      </w:r>
      <w:r w:rsidRPr="00186D72">
        <w:rPr>
          <w:bCs/>
          <w:iCs/>
          <w:szCs w:val="24"/>
        </w:rPr>
        <w:t>.</w:t>
      </w:r>
    </w:p>
    <w:p w14:paraId="5A191DA1" w14:textId="77777777" w:rsidR="009D4B91" w:rsidRDefault="009D4B91" w:rsidP="009D4B91">
      <w:pPr>
        <w:rPr>
          <w:szCs w:val="24"/>
          <w:u w:val="single"/>
        </w:rPr>
      </w:pPr>
    </w:p>
    <w:p w14:paraId="10929490" w14:textId="77777777" w:rsidR="009D4B91" w:rsidRPr="00A17023" w:rsidRDefault="009D4B91" w:rsidP="009D4B91">
      <w:pPr>
        <w:pStyle w:val="ListParagraph"/>
        <w:numPr>
          <w:ilvl w:val="0"/>
          <w:numId w:val="29"/>
        </w:numPr>
        <w:rPr>
          <w:bCs/>
          <w:iCs/>
          <w:u w:val="single"/>
        </w:rPr>
      </w:pPr>
      <w:r w:rsidRPr="0074481B">
        <w:rPr>
          <w:u w:val="single"/>
        </w:rPr>
        <w:t>Nitrogen Oxides</w:t>
      </w:r>
      <w:r>
        <w:rPr>
          <w:u w:val="single"/>
        </w:rPr>
        <w:t xml:space="preserve"> (NO</w:t>
      </w:r>
      <w:r>
        <w:rPr>
          <w:u w:val="single"/>
          <w:vertAlign w:val="subscript"/>
        </w:rPr>
        <w:t>x</w:t>
      </w:r>
      <w:r>
        <w:rPr>
          <w:u w:val="single"/>
        </w:rPr>
        <w:t>)</w:t>
      </w:r>
    </w:p>
    <w:p w14:paraId="625A2171" w14:textId="77777777" w:rsidR="009D4B91" w:rsidRDefault="009D4B91" w:rsidP="009D4B91">
      <w:pPr>
        <w:ind w:left="1440"/>
        <w:rPr>
          <w:bCs/>
          <w:iCs/>
          <w:szCs w:val="24"/>
        </w:rPr>
      </w:pPr>
    </w:p>
    <w:p w14:paraId="4DAC9602" w14:textId="37241CBB" w:rsidR="009656F0" w:rsidRPr="00A17023" w:rsidRDefault="009656F0" w:rsidP="009656F0">
      <w:pPr>
        <w:ind w:left="1440"/>
        <w:rPr>
          <w:bCs/>
          <w:iCs/>
          <w:szCs w:val="24"/>
        </w:rPr>
      </w:pPr>
      <w:r w:rsidRPr="009656F0">
        <w:rPr>
          <w:bCs/>
          <w:iCs/>
          <w:szCs w:val="24"/>
        </w:rPr>
        <w:t>NO</w:t>
      </w:r>
      <w:r w:rsidRPr="00EB2AA3">
        <w:rPr>
          <w:bCs/>
          <w:iCs/>
          <w:szCs w:val="24"/>
          <w:vertAlign w:val="subscript"/>
        </w:rPr>
        <w:t>x</w:t>
      </w:r>
      <w:r w:rsidRPr="009656F0">
        <w:rPr>
          <w:bCs/>
          <w:iCs/>
          <w:szCs w:val="24"/>
        </w:rPr>
        <w:t xml:space="preserve"> emissions from gas boilers are primarily due to thermal and prompt NO</w:t>
      </w:r>
      <w:r w:rsidRPr="00EB2AA3">
        <w:rPr>
          <w:bCs/>
          <w:iCs/>
          <w:szCs w:val="24"/>
          <w:vertAlign w:val="subscript"/>
        </w:rPr>
        <w:t>x</w:t>
      </w:r>
      <w:r w:rsidRPr="009656F0">
        <w:rPr>
          <w:bCs/>
          <w:iCs/>
          <w:szCs w:val="24"/>
        </w:rPr>
        <w:t xml:space="preserve"> generation</w:t>
      </w:r>
      <w:r>
        <w:rPr>
          <w:bCs/>
          <w:iCs/>
          <w:szCs w:val="24"/>
        </w:rPr>
        <w:t xml:space="preserve"> </w:t>
      </w:r>
      <w:r w:rsidRPr="009656F0">
        <w:rPr>
          <w:bCs/>
          <w:iCs/>
          <w:szCs w:val="24"/>
        </w:rPr>
        <w:t>mechanisms because the fuel does not contain appreciable amounts of organonitrogen compounds that</w:t>
      </w:r>
      <w:r>
        <w:rPr>
          <w:bCs/>
          <w:iCs/>
          <w:szCs w:val="24"/>
        </w:rPr>
        <w:t xml:space="preserve"> </w:t>
      </w:r>
      <w:r w:rsidRPr="009656F0">
        <w:rPr>
          <w:bCs/>
          <w:iCs/>
          <w:szCs w:val="24"/>
        </w:rPr>
        <w:t>result in fuel NO</w:t>
      </w:r>
      <w:r w:rsidRPr="00EB2AA3">
        <w:rPr>
          <w:bCs/>
          <w:iCs/>
          <w:szCs w:val="24"/>
          <w:vertAlign w:val="subscript"/>
        </w:rPr>
        <w:t>x</w:t>
      </w:r>
      <w:r w:rsidRPr="009656F0">
        <w:rPr>
          <w:bCs/>
          <w:iCs/>
          <w:szCs w:val="24"/>
        </w:rPr>
        <w:t xml:space="preserve"> emissions. The circulating bed design of Cogen Boilers</w:t>
      </w:r>
      <w:r w:rsidR="006C58C1">
        <w:rPr>
          <w:bCs/>
          <w:iCs/>
          <w:szCs w:val="24"/>
        </w:rPr>
        <w:t xml:space="preserve"> #6 and #7</w:t>
      </w:r>
      <w:r w:rsidRPr="009656F0">
        <w:rPr>
          <w:bCs/>
          <w:iCs/>
          <w:szCs w:val="24"/>
        </w:rPr>
        <w:t xml:space="preserve"> incorporates cyclonic</w:t>
      </w:r>
      <w:r>
        <w:rPr>
          <w:bCs/>
          <w:iCs/>
          <w:szCs w:val="24"/>
        </w:rPr>
        <w:t xml:space="preserve"> </w:t>
      </w:r>
      <w:r w:rsidRPr="009656F0">
        <w:rPr>
          <w:bCs/>
          <w:iCs/>
          <w:szCs w:val="24"/>
        </w:rPr>
        <w:t>mechanics to promote complete combustion at relatively low combustion temperatures as a mechanism for</w:t>
      </w:r>
      <w:r>
        <w:rPr>
          <w:bCs/>
          <w:iCs/>
          <w:szCs w:val="24"/>
        </w:rPr>
        <w:t xml:space="preserve"> </w:t>
      </w:r>
      <w:r w:rsidRPr="009656F0">
        <w:rPr>
          <w:bCs/>
          <w:iCs/>
          <w:szCs w:val="24"/>
        </w:rPr>
        <w:t>minimizing NO</w:t>
      </w:r>
      <w:r w:rsidRPr="00EB2AA3">
        <w:rPr>
          <w:bCs/>
          <w:iCs/>
          <w:szCs w:val="24"/>
          <w:vertAlign w:val="subscript"/>
        </w:rPr>
        <w:t>x</w:t>
      </w:r>
      <w:r w:rsidRPr="009656F0">
        <w:rPr>
          <w:bCs/>
          <w:iCs/>
          <w:szCs w:val="24"/>
        </w:rPr>
        <w:t xml:space="preserve"> emissions. In addition, the new natural gas burners will be low</w:t>
      </w:r>
      <w:r>
        <w:rPr>
          <w:bCs/>
          <w:iCs/>
          <w:szCs w:val="24"/>
        </w:rPr>
        <w:noBreakHyphen/>
      </w:r>
      <w:r w:rsidRPr="009656F0">
        <w:rPr>
          <w:bCs/>
          <w:iCs/>
          <w:szCs w:val="24"/>
        </w:rPr>
        <w:t>NO</w:t>
      </w:r>
      <w:r w:rsidRPr="00EB2AA3">
        <w:rPr>
          <w:bCs/>
          <w:iCs/>
          <w:szCs w:val="24"/>
          <w:vertAlign w:val="subscript"/>
        </w:rPr>
        <w:t>x</w:t>
      </w:r>
      <w:r w:rsidRPr="009656F0">
        <w:rPr>
          <w:bCs/>
          <w:iCs/>
          <w:szCs w:val="24"/>
        </w:rPr>
        <w:t xml:space="preserve"> burners in design.</w:t>
      </w:r>
      <w:r>
        <w:rPr>
          <w:bCs/>
          <w:iCs/>
          <w:szCs w:val="24"/>
        </w:rPr>
        <w:t xml:space="preserve"> </w:t>
      </w:r>
      <w:r w:rsidRPr="009656F0">
        <w:rPr>
          <w:bCs/>
          <w:iCs/>
          <w:szCs w:val="24"/>
        </w:rPr>
        <w:t>The use of low-NO</w:t>
      </w:r>
      <w:r w:rsidRPr="00EB2AA3">
        <w:rPr>
          <w:bCs/>
          <w:iCs/>
          <w:szCs w:val="24"/>
          <w:vertAlign w:val="subscript"/>
        </w:rPr>
        <w:t>x</w:t>
      </w:r>
      <w:r w:rsidRPr="009656F0">
        <w:rPr>
          <w:bCs/>
          <w:iCs/>
          <w:szCs w:val="24"/>
        </w:rPr>
        <w:t xml:space="preserve"> burners along with proper maintenance, tuning, and combustion air design will</w:t>
      </w:r>
      <w:r>
        <w:rPr>
          <w:bCs/>
          <w:iCs/>
          <w:szCs w:val="24"/>
        </w:rPr>
        <w:t xml:space="preserve"> </w:t>
      </w:r>
      <w:r w:rsidRPr="009656F0">
        <w:rPr>
          <w:bCs/>
          <w:iCs/>
          <w:szCs w:val="24"/>
        </w:rPr>
        <w:t>effectively minimize NO</w:t>
      </w:r>
      <w:r w:rsidRPr="00EB2AA3">
        <w:rPr>
          <w:bCs/>
          <w:iCs/>
          <w:szCs w:val="24"/>
          <w:vertAlign w:val="subscript"/>
        </w:rPr>
        <w:t>x</w:t>
      </w:r>
      <w:r w:rsidRPr="009656F0">
        <w:rPr>
          <w:bCs/>
          <w:iCs/>
          <w:szCs w:val="24"/>
        </w:rPr>
        <w:t xml:space="preserve"> emissions from natural gas combustion </w:t>
      </w:r>
      <w:r w:rsidR="007D77F5">
        <w:rPr>
          <w:bCs/>
          <w:iCs/>
          <w:szCs w:val="24"/>
        </w:rPr>
        <w:t xml:space="preserve">in </w:t>
      </w:r>
      <w:r w:rsidRPr="009656F0">
        <w:rPr>
          <w:bCs/>
          <w:iCs/>
          <w:szCs w:val="24"/>
        </w:rPr>
        <w:t xml:space="preserve">the boilers. </w:t>
      </w:r>
      <w:r w:rsidR="00F23166">
        <w:rPr>
          <w:bCs/>
          <w:iCs/>
          <w:szCs w:val="24"/>
        </w:rPr>
        <w:t>The Department finds</w:t>
      </w:r>
      <w:r w:rsidRPr="009656F0">
        <w:rPr>
          <w:bCs/>
          <w:iCs/>
          <w:szCs w:val="24"/>
        </w:rPr>
        <w:t xml:space="preserve"> that a</w:t>
      </w:r>
      <w:r>
        <w:rPr>
          <w:bCs/>
          <w:iCs/>
          <w:szCs w:val="24"/>
        </w:rPr>
        <w:t xml:space="preserve"> </w:t>
      </w:r>
      <w:r w:rsidRPr="009656F0">
        <w:rPr>
          <w:bCs/>
          <w:iCs/>
          <w:szCs w:val="24"/>
        </w:rPr>
        <w:t>NO</w:t>
      </w:r>
      <w:r w:rsidRPr="00EB2AA3">
        <w:rPr>
          <w:bCs/>
          <w:iCs/>
          <w:szCs w:val="24"/>
          <w:vertAlign w:val="subscript"/>
        </w:rPr>
        <w:t>x</w:t>
      </w:r>
      <w:r w:rsidRPr="009656F0">
        <w:rPr>
          <w:bCs/>
          <w:iCs/>
          <w:szCs w:val="24"/>
        </w:rPr>
        <w:t xml:space="preserve"> emission limit of 0.15 lb/MMBtu</w:t>
      </w:r>
      <w:r w:rsidR="00F23166">
        <w:rPr>
          <w:bCs/>
          <w:iCs/>
          <w:szCs w:val="24"/>
        </w:rPr>
        <w:t>,</w:t>
      </w:r>
      <w:r w:rsidRPr="009656F0">
        <w:rPr>
          <w:bCs/>
          <w:iCs/>
          <w:szCs w:val="24"/>
        </w:rPr>
        <w:t xml:space="preserve"> based on boiler manufacturer estimates, in conjunction with these</w:t>
      </w:r>
      <w:r>
        <w:rPr>
          <w:bCs/>
          <w:iCs/>
          <w:szCs w:val="24"/>
        </w:rPr>
        <w:t xml:space="preserve"> </w:t>
      </w:r>
      <w:r w:rsidRPr="009656F0">
        <w:rPr>
          <w:bCs/>
          <w:iCs/>
          <w:szCs w:val="24"/>
        </w:rPr>
        <w:t>efforts represents BPT for NO</w:t>
      </w:r>
      <w:r w:rsidRPr="00EB2AA3">
        <w:rPr>
          <w:bCs/>
          <w:iCs/>
          <w:szCs w:val="24"/>
          <w:vertAlign w:val="subscript"/>
        </w:rPr>
        <w:t>x</w:t>
      </w:r>
      <w:r w:rsidRPr="009656F0">
        <w:rPr>
          <w:bCs/>
          <w:iCs/>
          <w:szCs w:val="24"/>
        </w:rPr>
        <w:t xml:space="preserve"> emissions</w:t>
      </w:r>
      <w:r w:rsidR="00C519F3">
        <w:rPr>
          <w:bCs/>
          <w:iCs/>
          <w:szCs w:val="24"/>
        </w:rPr>
        <w:t xml:space="preserve"> from firing natural gas in these boilers</w:t>
      </w:r>
      <w:r w:rsidRPr="009656F0">
        <w:rPr>
          <w:bCs/>
          <w:iCs/>
          <w:szCs w:val="24"/>
        </w:rPr>
        <w:t>.</w:t>
      </w:r>
    </w:p>
    <w:p w14:paraId="645125C0" w14:textId="77777777" w:rsidR="009D4B91" w:rsidRDefault="009D4B91" w:rsidP="009D4B91">
      <w:pPr>
        <w:ind w:left="1080"/>
        <w:rPr>
          <w:szCs w:val="24"/>
        </w:rPr>
      </w:pPr>
    </w:p>
    <w:p w14:paraId="182233A9" w14:textId="77777777" w:rsidR="009D4B91" w:rsidRPr="0074481B" w:rsidRDefault="009D4B91" w:rsidP="009D4B91">
      <w:pPr>
        <w:pStyle w:val="ListParagraph"/>
        <w:numPr>
          <w:ilvl w:val="0"/>
          <w:numId w:val="29"/>
        </w:numPr>
        <w:rPr>
          <w:u w:val="single"/>
        </w:rPr>
      </w:pPr>
      <w:r w:rsidRPr="0074481B">
        <w:rPr>
          <w:u w:val="single"/>
        </w:rPr>
        <w:t>Carbon Monoxide</w:t>
      </w:r>
      <w:r>
        <w:rPr>
          <w:u w:val="single"/>
        </w:rPr>
        <w:t xml:space="preserve"> (CO)</w:t>
      </w:r>
      <w:r w:rsidRPr="0074481B">
        <w:rPr>
          <w:u w:val="single"/>
        </w:rPr>
        <w:t xml:space="preserve"> and Volatile Organic Compounds</w:t>
      </w:r>
      <w:r>
        <w:rPr>
          <w:u w:val="single"/>
        </w:rPr>
        <w:t xml:space="preserve"> (VOC)</w:t>
      </w:r>
    </w:p>
    <w:p w14:paraId="392FF7AE" w14:textId="77777777" w:rsidR="009D4B91" w:rsidRDefault="009D4B91" w:rsidP="009D4B91">
      <w:pPr>
        <w:rPr>
          <w:szCs w:val="24"/>
          <w:u w:val="single"/>
        </w:rPr>
      </w:pPr>
    </w:p>
    <w:p w14:paraId="178D8DB6" w14:textId="2880362F" w:rsidR="006C58C1" w:rsidRDefault="006C58C1" w:rsidP="006C58C1">
      <w:pPr>
        <w:ind w:left="1440"/>
        <w:rPr>
          <w:szCs w:val="24"/>
        </w:rPr>
      </w:pPr>
      <w:r w:rsidRPr="006C58C1">
        <w:rPr>
          <w:szCs w:val="24"/>
        </w:rPr>
        <w:t>There are two potential categories of available control technologies for minimizing CO and VOC emissions</w:t>
      </w:r>
      <w:r>
        <w:rPr>
          <w:szCs w:val="24"/>
        </w:rPr>
        <w:t xml:space="preserve"> </w:t>
      </w:r>
      <w:r w:rsidRPr="006C58C1">
        <w:rPr>
          <w:szCs w:val="24"/>
        </w:rPr>
        <w:t>from gas-fired boilers</w:t>
      </w:r>
      <w:r w:rsidR="00C519F3">
        <w:rPr>
          <w:szCs w:val="24"/>
        </w:rPr>
        <w:t>:</w:t>
      </w:r>
      <w:r w:rsidRPr="006C58C1">
        <w:rPr>
          <w:szCs w:val="24"/>
        </w:rPr>
        <w:t xml:space="preserve"> </w:t>
      </w:r>
      <w:r w:rsidR="00C519F3">
        <w:rPr>
          <w:szCs w:val="24"/>
        </w:rPr>
        <w:t>c</w:t>
      </w:r>
      <w:r w:rsidR="00C519F3" w:rsidRPr="006C58C1">
        <w:rPr>
          <w:szCs w:val="24"/>
        </w:rPr>
        <w:t xml:space="preserve">ombustion </w:t>
      </w:r>
      <w:r w:rsidRPr="006C58C1">
        <w:rPr>
          <w:szCs w:val="24"/>
        </w:rPr>
        <w:t xml:space="preserve">control strategies that </w:t>
      </w:r>
      <w:r w:rsidRPr="006C58C1">
        <w:rPr>
          <w:szCs w:val="24"/>
        </w:rPr>
        <w:lastRenderedPageBreak/>
        <w:t>minimize the formation of CO and VOC in the</w:t>
      </w:r>
      <w:r>
        <w:rPr>
          <w:szCs w:val="24"/>
        </w:rPr>
        <w:t xml:space="preserve"> </w:t>
      </w:r>
      <w:r w:rsidRPr="006C58C1">
        <w:rPr>
          <w:szCs w:val="24"/>
        </w:rPr>
        <w:t>combustion unit and post</w:t>
      </w:r>
      <w:r w:rsidR="007E7F1F">
        <w:rPr>
          <w:szCs w:val="24"/>
        </w:rPr>
        <w:noBreakHyphen/>
      </w:r>
      <w:r w:rsidRPr="006C58C1">
        <w:rPr>
          <w:szCs w:val="24"/>
        </w:rPr>
        <w:t>combustion add-on pollution control devices designed to remove and/or</w:t>
      </w:r>
      <w:r>
        <w:rPr>
          <w:szCs w:val="24"/>
        </w:rPr>
        <w:t xml:space="preserve"> </w:t>
      </w:r>
      <w:r w:rsidRPr="006C58C1">
        <w:rPr>
          <w:szCs w:val="24"/>
        </w:rPr>
        <w:t>destroy the CO and VOC contained in the unit’s exhaust stream. Potential post-combustion add-on devices</w:t>
      </w:r>
      <w:r>
        <w:rPr>
          <w:szCs w:val="24"/>
        </w:rPr>
        <w:t xml:space="preserve"> </w:t>
      </w:r>
      <w:r w:rsidRPr="006C58C1">
        <w:rPr>
          <w:szCs w:val="24"/>
        </w:rPr>
        <w:t>include oxidation catalysts and thermal oxidizers.</w:t>
      </w:r>
    </w:p>
    <w:p w14:paraId="2E28ED25" w14:textId="77777777" w:rsidR="00C519F3" w:rsidRDefault="00C519F3" w:rsidP="006C58C1">
      <w:pPr>
        <w:ind w:left="1440"/>
        <w:rPr>
          <w:szCs w:val="24"/>
        </w:rPr>
      </w:pPr>
    </w:p>
    <w:p w14:paraId="3446589B" w14:textId="77777777" w:rsidR="00593753" w:rsidRDefault="00593753" w:rsidP="00593753">
      <w:pPr>
        <w:ind w:left="1440"/>
        <w:rPr>
          <w:szCs w:val="24"/>
        </w:rPr>
      </w:pPr>
      <w:r w:rsidRPr="00593753">
        <w:rPr>
          <w:szCs w:val="24"/>
        </w:rPr>
        <w:t>Thermal oxidation is not technically feasible for controlling CO and VOC emissions from Cogen Boilers</w:t>
      </w:r>
      <w:r>
        <w:rPr>
          <w:szCs w:val="24"/>
        </w:rPr>
        <w:t xml:space="preserve"> #6 and #7 </w:t>
      </w:r>
      <w:r w:rsidRPr="00593753">
        <w:rPr>
          <w:szCs w:val="24"/>
        </w:rPr>
        <w:t>due to the lower temperatures of the exhaust stream. Applying thermal oxidation would require the</w:t>
      </w:r>
      <w:r>
        <w:rPr>
          <w:szCs w:val="24"/>
        </w:rPr>
        <w:t xml:space="preserve"> </w:t>
      </w:r>
      <w:r w:rsidRPr="00593753">
        <w:rPr>
          <w:szCs w:val="24"/>
        </w:rPr>
        <w:t>combustion of a considerable amount of fuel to achieve the elevated temperature necessary to promote the</w:t>
      </w:r>
      <w:r>
        <w:rPr>
          <w:szCs w:val="24"/>
        </w:rPr>
        <w:t xml:space="preserve"> </w:t>
      </w:r>
      <w:r w:rsidRPr="00593753">
        <w:rPr>
          <w:szCs w:val="24"/>
        </w:rPr>
        <w:t>oxidation of the CO and VOC present in the exhaust stream. This fuel combustion would generate additional</w:t>
      </w:r>
      <w:r>
        <w:rPr>
          <w:szCs w:val="24"/>
        </w:rPr>
        <w:t xml:space="preserve"> </w:t>
      </w:r>
      <w:r w:rsidRPr="00593753">
        <w:rPr>
          <w:szCs w:val="24"/>
        </w:rPr>
        <w:t xml:space="preserve">combustion pollutants, including additional CO. </w:t>
      </w:r>
    </w:p>
    <w:p w14:paraId="71B83DBC" w14:textId="77777777" w:rsidR="00593753" w:rsidRDefault="00593753" w:rsidP="00593753">
      <w:pPr>
        <w:ind w:left="1440"/>
        <w:rPr>
          <w:szCs w:val="24"/>
        </w:rPr>
      </w:pPr>
    </w:p>
    <w:p w14:paraId="6B429458" w14:textId="13D7A662" w:rsidR="006C58C1" w:rsidRDefault="00593753" w:rsidP="00593753">
      <w:pPr>
        <w:ind w:left="1440"/>
        <w:rPr>
          <w:szCs w:val="24"/>
        </w:rPr>
      </w:pPr>
      <w:r w:rsidRPr="00593753">
        <w:rPr>
          <w:szCs w:val="24"/>
        </w:rPr>
        <w:t>Oxidation catalysts are generally a technically feasible control option for minimizing CO and VOC emissions</w:t>
      </w:r>
      <w:r>
        <w:rPr>
          <w:szCs w:val="24"/>
        </w:rPr>
        <w:t xml:space="preserve"> </w:t>
      </w:r>
      <w:r w:rsidR="008F49C9">
        <w:rPr>
          <w:szCs w:val="24"/>
        </w:rPr>
        <w:t xml:space="preserve">from </w:t>
      </w:r>
      <w:r w:rsidRPr="00593753">
        <w:rPr>
          <w:szCs w:val="24"/>
        </w:rPr>
        <w:t>gas-fired boilers.</w:t>
      </w:r>
      <w:r>
        <w:rPr>
          <w:szCs w:val="24"/>
        </w:rPr>
        <w:t xml:space="preserve"> </w:t>
      </w:r>
      <w:r w:rsidRPr="00593753">
        <w:rPr>
          <w:szCs w:val="24"/>
        </w:rPr>
        <w:t xml:space="preserve">However, the </w:t>
      </w:r>
      <w:r w:rsidRPr="007E7F1F">
        <w:t>Cogen</w:t>
      </w:r>
      <w:r w:rsidR="007E7F1F">
        <w:t> </w:t>
      </w:r>
      <w:r w:rsidRPr="007E7F1F">
        <w:t>Boilers</w:t>
      </w:r>
      <w:r w:rsidRPr="00593753">
        <w:rPr>
          <w:szCs w:val="24"/>
        </w:rPr>
        <w:t xml:space="preserve"> are designed to primarily combust solid fuel</w:t>
      </w:r>
      <w:r w:rsidR="008F49C9">
        <w:rPr>
          <w:szCs w:val="24"/>
        </w:rPr>
        <w:t>,</w:t>
      </w:r>
      <w:r w:rsidRPr="00593753">
        <w:rPr>
          <w:szCs w:val="24"/>
        </w:rPr>
        <w:t xml:space="preserve"> and CFBs require bed material to</w:t>
      </w:r>
      <w:r>
        <w:rPr>
          <w:szCs w:val="24"/>
        </w:rPr>
        <w:t xml:space="preserve"> </w:t>
      </w:r>
      <w:r w:rsidRPr="00593753">
        <w:rPr>
          <w:szCs w:val="24"/>
        </w:rPr>
        <w:t>be circulated continuously for proper combustion and heat transfer. During startup of these units, a</w:t>
      </w:r>
      <w:r>
        <w:rPr>
          <w:szCs w:val="24"/>
        </w:rPr>
        <w:t xml:space="preserve"> </w:t>
      </w:r>
      <w:r w:rsidRPr="00593753">
        <w:rPr>
          <w:szCs w:val="24"/>
        </w:rPr>
        <w:t>significant amount of time is spent loading the bed material to facilitate a smooth startup. Combustion of oil</w:t>
      </w:r>
      <w:r>
        <w:rPr>
          <w:szCs w:val="24"/>
        </w:rPr>
        <w:t xml:space="preserve"> </w:t>
      </w:r>
      <w:r w:rsidRPr="00593753">
        <w:rPr>
          <w:szCs w:val="24"/>
        </w:rPr>
        <w:t>primarily takes place during start up until the units can sustain combustion of solid fuels without the auxiliary</w:t>
      </w:r>
      <w:r>
        <w:rPr>
          <w:szCs w:val="24"/>
        </w:rPr>
        <w:t xml:space="preserve"> </w:t>
      </w:r>
      <w:r w:rsidRPr="00593753">
        <w:rPr>
          <w:szCs w:val="24"/>
        </w:rPr>
        <w:t>fuel. During these start up periods, the ESPs do not function at maximum efficiency due to fuel gas</w:t>
      </w:r>
      <w:r>
        <w:rPr>
          <w:szCs w:val="24"/>
        </w:rPr>
        <w:t xml:space="preserve"> </w:t>
      </w:r>
      <w:r w:rsidRPr="00593753">
        <w:rPr>
          <w:szCs w:val="24"/>
        </w:rPr>
        <w:t>characteristics. These conditions would cause rapid catalyst fouling, abrasion, and deactivation, resulting in</w:t>
      </w:r>
      <w:r>
        <w:rPr>
          <w:szCs w:val="24"/>
        </w:rPr>
        <w:t xml:space="preserve"> </w:t>
      </w:r>
      <w:r w:rsidRPr="00593753">
        <w:rPr>
          <w:szCs w:val="24"/>
        </w:rPr>
        <w:t>high maintenance costs and frequent catalyst replacement. Furthermore, due to the inherently efficient</w:t>
      </w:r>
      <w:r>
        <w:rPr>
          <w:szCs w:val="24"/>
        </w:rPr>
        <w:t xml:space="preserve"> </w:t>
      </w:r>
      <w:r w:rsidRPr="00593753">
        <w:rPr>
          <w:szCs w:val="24"/>
        </w:rPr>
        <w:t>combustion characteristics of CFB boilers, baseline CO and VOC emissions are already low, and additional</w:t>
      </w:r>
      <w:r>
        <w:rPr>
          <w:szCs w:val="24"/>
        </w:rPr>
        <w:t xml:space="preserve"> </w:t>
      </w:r>
      <w:r w:rsidRPr="00593753">
        <w:rPr>
          <w:szCs w:val="24"/>
        </w:rPr>
        <w:t>reductions would be minimal. As there are no known commercial applications of oxidation catalysts on CFB</w:t>
      </w:r>
      <w:r>
        <w:rPr>
          <w:szCs w:val="24"/>
        </w:rPr>
        <w:t xml:space="preserve"> </w:t>
      </w:r>
      <w:r w:rsidRPr="00593753">
        <w:rPr>
          <w:szCs w:val="24"/>
        </w:rPr>
        <w:t>boilers, this technology is not technically feasible for this source type.</w:t>
      </w:r>
    </w:p>
    <w:p w14:paraId="51F7C266" w14:textId="77777777" w:rsidR="00817426" w:rsidRDefault="00817426" w:rsidP="00593753">
      <w:pPr>
        <w:ind w:left="1440"/>
        <w:rPr>
          <w:szCs w:val="24"/>
        </w:rPr>
      </w:pPr>
    </w:p>
    <w:p w14:paraId="21AE48D2" w14:textId="2B824A11" w:rsidR="006C58C1" w:rsidRDefault="00817426" w:rsidP="00817426">
      <w:pPr>
        <w:ind w:left="1440"/>
        <w:rPr>
          <w:szCs w:val="24"/>
        </w:rPr>
      </w:pPr>
      <w:r w:rsidRPr="00817426">
        <w:rPr>
          <w:szCs w:val="24"/>
        </w:rPr>
        <w:t>Good combustion practices are the only control technology determined to be technically feasible for</w:t>
      </w:r>
      <w:r>
        <w:rPr>
          <w:szCs w:val="24"/>
        </w:rPr>
        <w:t xml:space="preserve"> </w:t>
      </w:r>
      <w:r w:rsidRPr="00817426">
        <w:rPr>
          <w:szCs w:val="24"/>
        </w:rPr>
        <w:t xml:space="preserve">controlling CO and VOC emissions from Cogen Boilers #6 and #7. </w:t>
      </w:r>
      <w:r w:rsidR="008F49C9">
        <w:rPr>
          <w:szCs w:val="24"/>
        </w:rPr>
        <w:t>The Department finds</w:t>
      </w:r>
      <w:r w:rsidRPr="00817426">
        <w:rPr>
          <w:szCs w:val="24"/>
        </w:rPr>
        <w:t xml:space="preserve"> that maintaining</w:t>
      </w:r>
      <w:r>
        <w:rPr>
          <w:szCs w:val="24"/>
        </w:rPr>
        <w:t xml:space="preserve"> </w:t>
      </w:r>
      <w:r w:rsidRPr="00817426">
        <w:rPr>
          <w:szCs w:val="24"/>
        </w:rPr>
        <w:t>the current CO and VOC emission limits in conjunction with good combustion practices represents BACT for</w:t>
      </w:r>
      <w:r>
        <w:rPr>
          <w:szCs w:val="24"/>
        </w:rPr>
        <w:t xml:space="preserve"> </w:t>
      </w:r>
      <w:r w:rsidRPr="00817426">
        <w:rPr>
          <w:szCs w:val="24"/>
        </w:rPr>
        <w:t>CO and VOC emissions.</w:t>
      </w:r>
    </w:p>
    <w:p w14:paraId="1398E1B4" w14:textId="77777777" w:rsidR="00817426" w:rsidRPr="006C58C1" w:rsidRDefault="00817426" w:rsidP="00817426">
      <w:pPr>
        <w:ind w:left="1440"/>
        <w:rPr>
          <w:szCs w:val="24"/>
        </w:rPr>
      </w:pPr>
    </w:p>
    <w:p w14:paraId="003DA50F" w14:textId="77777777" w:rsidR="009D4B91" w:rsidRDefault="009D4B91" w:rsidP="009D4B91">
      <w:pPr>
        <w:pStyle w:val="ListParagraph"/>
        <w:numPr>
          <w:ilvl w:val="0"/>
          <w:numId w:val="29"/>
        </w:numPr>
        <w:rPr>
          <w:u w:val="single"/>
        </w:rPr>
      </w:pPr>
      <w:r w:rsidRPr="0074481B">
        <w:rPr>
          <w:u w:val="single"/>
        </w:rPr>
        <w:t>Emission Limits</w:t>
      </w:r>
    </w:p>
    <w:p w14:paraId="164B6826" w14:textId="77777777" w:rsidR="009D4B91" w:rsidRPr="0074481B" w:rsidRDefault="009D4B91" w:rsidP="009D4B91">
      <w:pPr>
        <w:pStyle w:val="ListParagraph"/>
        <w:ind w:left="1440"/>
        <w:rPr>
          <w:u w:val="single"/>
        </w:rPr>
      </w:pPr>
    </w:p>
    <w:p w14:paraId="5415256C" w14:textId="0C8425D7" w:rsidR="008F177A" w:rsidRPr="000F4332" w:rsidRDefault="008F177A" w:rsidP="008F177A">
      <w:pPr>
        <w:ind w:left="1440"/>
        <w:rPr>
          <w:szCs w:val="24"/>
        </w:rPr>
      </w:pPr>
      <w:r w:rsidRPr="000F4332">
        <w:rPr>
          <w:szCs w:val="24"/>
        </w:rPr>
        <w:t xml:space="preserve">The </w:t>
      </w:r>
      <w:r>
        <w:rPr>
          <w:szCs w:val="24"/>
        </w:rPr>
        <w:t>BACT</w:t>
      </w:r>
      <w:r w:rsidR="007E7F1F">
        <w:rPr>
          <w:szCs w:val="24"/>
        </w:rPr>
        <w:t xml:space="preserve"> (for</w:t>
      </w:r>
      <w:r w:rsidR="007E7F1F" w:rsidRPr="007E7F1F">
        <w:rPr>
          <w:szCs w:val="24"/>
        </w:rPr>
        <w:t xml:space="preserve"> </w:t>
      </w:r>
      <w:r w:rsidR="007E7F1F" w:rsidRPr="00941695">
        <w:rPr>
          <w:szCs w:val="24"/>
        </w:rPr>
        <w:t>PM, PM</w:t>
      </w:r>
      <w:r w:rsidR="007E7F1F" w:rsidRPr="00941695">
        <w:rPr>
          <w:szCs w:val="24"/>
          <w:vertAlign w:val="subscript"/>
        </w:rPr>
        <w:t>10</w:t>
      </w:r>
      <w:r w:rsidR="007E7F1F" w:rsidRPr="00941695">
        <w:rPr>
          <w:szCs w:val="24"/>
        </w:rPr>
        <w:t>, PM</w:t>
      </w:r>
      <w:r w:rsidR="007E7F1F" w:rsidRPr="00941695">
        <w:rPr>
          <w:szCs w:val="24"/>
          <w:vertAlign w:val="subscript"/>
        </w:rPr>
        <w:t>2.5</w:t>
      </w:r>
      <w:r w:rsidR="007E7F1F" w:rsidRPr="00941695">
        <w:rPr>
          <w:szCs w:val="24"/>
        </w:rPr>
        <w:t>,</w:t>
      </w:r>
      <w:r w:rsidR="007E7F1F" w:rsidRPr="00941695">
        <w:rPr>
          <w:szCs w:val="24"/>
          <w:vertAlign w:val="subscript"/>
        </w:rPr>
        <w:t xml:space="preserve"> </w:t>
      </w:r>
      <w:r w:rsidR="007E7F1F" w:rsidRPr="00941695">
        <w:rPr>
          <w:szCs w:val="24"/>
        </w:rPr>
        <w:t>CO, and VOC</w:t>
      </w:r>
      <w:r w:rsidR="007E7F1F">
        <w:rPr>
          <w:szCs w:val="24"/>
        </w:rPr>
        <w:t>)</w:t>
      </w:r>
      <w:r>
        <w:rPr>
          <w:szCs w:val="24"/>
        </w:rPr>
        <w:t xml:space="preserve"> and BPT </w:t>
      </w:r>
      <w:r w:rsidR="007E7F1F">
        <w:rPr>
          <w:szCs w:val="24"/>
        </w:rPr>
        <w:t xml:space="preserve">(for NOx and SO2) </w:t>
      </w:r>
      <w:r w:rsidRPr="000F4332">
        <w:rPr>
          <w:szCs w:val="24"/>
        </w:rPr>
        <w:t xml:space="preserve">emission </w:t>
      </w:r>
      <w:r>
        <w:rPr>
          <w:szCs w:val="24"/>
        </w:rPr>
        <w:t>rates used to determine the potential actual emissions increase</w:t>
      </w:r>
      <w:r w:rsidRPr="000F4332">
        <w:rPr>
          <w:szCs w:val="24"/>
        </w:rPr>
        <w:t xml:space="preserve"> for </w:t>
      </w:r>
      <w:r w:rsidRPr="002C7D4B">
        <w:rPr>
          <w:bCs/>
          <w:iCs/>
          <w:szCs w:val="24"/>
        </w:rPr>
        <w:t>Recovery Boiler C</w:t>
      </w:r>
      <w:r>
        <w:rPr>
          <w:b/>
          <w:i/>
          <w:szCs w:val="24"/>
        </w:rPr>
        <w:t xml:space="preserve"> </w:t>
      </w:r>
      <w:r w:rsidRPr="000F4332">
        <w:rPr>
          <w:szCs w:val="24"/>
        </w:rPr>
        <w:t>w</w:t>
      </w:r>
      <w:r>
        <w:rPr>
          <w:szCs w:val="24"/>
        </w:rPr>
        <w:t>ere</w:t>
      </w:r>
      <w:r w:rsidRPr="000F4332">
        <w:rPr>
          <w:szCs w:val="24"/>
        </w:rPr>
        <w:t xml:space="preserve"> based on the following:</w:t>
      </w:r>
    </w:p>
    <w:p w14:paraId="4A49920D" w14:textId="77777777" w:rsidR="008F177A" w:rsidRDefault="008F177A" w:rsidP="008F177A">
      <w:pPr>
        <w:ind w:left="1440" w:hanging="1440"/>
        <w:rPr>
          <w:u w:val="single"/>
        </w:rPr>
      </w:pPr>
      <w:r>
        <w:tab/>
      </w:r>
      <w:r>
        <w:tab/>
      </w:r>
      <w:r>
        <w:tab/>
      </w:r>
      <w:r>
        <w:tab/>
      </w:r>
      <w:r>
        <w:tab/>
      </w:r>
    </w:p>
    <w:p w14:paraId="2B1DC0B6" w14:textId="77777777" w:rsidR="007E7F1F" w:rsidRDefault="007E7F1F">
      <w:pPr>
        <w:jc w:val="left"/>
        <w:rPr>
          <w:u w:val="single"/>
        </w:rPr>
      </w:pPr>
      <w:r>
        <w:rPr>
          <w:u w:val="single"/>
        </w:rPr>
        <w:br w:type="page"/>
      </w:r>
    </w:p>
    <w:p w14:paraId="0374D332" w14:textId="5316C203" w:rsidR="008F177A" w:rsidRPr="00926D8A" w:rsidRDefault="008F177A" w:rsidP="008F177A">
      <w:pPr>
        <w:ind w:left="1080" w:firstLine="360"/>
        <w:rPr>
          <w:u w:val="single"/>
        </w:rPr>
      </w:pPr>
      <w:r>
        <w:rPr>
          <w:u w:val="single"/>
        </w:rPr>
        <w:lastRenderedPageBreak/>
        <w:t>Natural Gas</w:t>
      </w:r>
    </w:p>
    <w:p w14:paraId="33D6C9CE" w14:textId="77777777" w:rsidR="008F177A" w:rsidRDefault="008F177A" w:rsidP="008F177A">
      <w:pPr>
        <w:ind w:left="1080" w:hanging="720"/>
      </w:pPr>
      <w:r>
        <w:tab/>
      </w:r>
      <w:r>
        <w:tab/>
      </w:r>
      <w:r>
        <w:tab/>
      </w:r>
    </w:p>
    <w:tbl>
      <w:tblPr>
        <w:tblStyle w:val="TableGrid"/>
        <w:tblW w:w="819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344"/>
        <w:gridCol w:w="6509"/>
      </w:tblGrid>
      <w:tr w:rsidR="008F177A" w14:paraId="09FE9588" w14:textId="77777777" w:rsidTr="002B6D6A">
        <w:tc>
          <w:tcPr>
            <w:tcW w:w="1337" w:type="dxa"/>
          </w:tcPr>
          <w:p w14:paraId="5208B6DB" w14:textId="77777777" w:rsidR="008F177A" w:rsidRPr="005878EA" w:rsidRDefault="008F177A" w:rsidP="002B6D6A">
            <w:r w:rsidRPr="005878EA">
              <w:t>PM</w:t>
            </w:r>
          </w:p>
        </w:tc>
        <w:tc>
          <w:tcPr>
            <w:tcW w:w="344" w:type="dxa"/>
          </w:tcPr>
          <w:p w14:paraId="335BD34A" w14:textId="77777777" w:rsidR="008F177A" w:rsidRPr="005878EA" w:rsidRDefault="008F177A" w:rsidP="002B6D6A">
            <w:pPr>
              <w:ind w:left="252" w:hanging="252"/>
            </w:pPr>
            <w:r w:rsidRPr="005878EA">
              <w:t>–</w:t>
            </w:r>
          </w:p>
        </w:tc>
        <w:tc>
          <w:tcPr>
            <w:tcW w:w="6509" w:type="dxa"/>
          </w:tcPr>
          <w:p w14:paraId="64C58EA7" w14:textId="77777777" w:rsidR="008F177A" w:rsidRPr="005878EA" w:rsidRDefault="008F177A" w:rsidP="002B6D6A">
            <w:r w:rsidRPr="005878EA">
              <w:t>7.6 lb/MMscf based on AP-42 Table 1.4-2 dated 7/98</w:t>
            </w:r>
          </w:p>
        </w:tc>
      </w:tr>
      <w:tr w:rsidR="008F177A" w14:paraId="241DA799" w14:textId="77777777" w:rsidTr="002B6D6A">
        <w:tc>
          <w:tcPr>
            <w:tcW w:w="1337" w:type="dxa"/>
          </w:tcPr>
          <w:p w14:paraId="06BB355C" w14:textId="77777777" w:rsidR="008F177A" w:rsidRPr="005878EA" w:rsidRDefault="008F177A" w:rsidP="002B6D6A">
            <w:r w:rsidRPr="005878EA">
              <w:t>PM</w:t>
            </w:r>
            <w:r w:rsidRPr="005878EA">
              <w:rPr>
                <w:vertAlign w:val="subscript"/>
              </w:rPr>
              <w:t>10</w:t>
            </w:r>
            <w:r w:rsidRPr="005878EA">
              <w:t>/PM</w:t>
            </w:r>
            <w:r w:rsidRPr="005878EA">
              <w:rPr>
                <w:vertAlign w:val="subscript"/>
              </w:rPr>
              <w:t>2.5</w:t>
            </w:r>
          </w:p>
        </w:tc>
        <w:tc>
          <w:tcPr>
            <w:tcW w:w="344" w:type="dxa"/>
          </w:tcPr>
          <w:p w14:paraId="56FAD1AD" w14:textId="77777777" w:rsidR="008F177A" w:rsidRPr="005878EA" w:rsidRDefault="008F177A" w:rsidP="002B6D6A">
            <w:r w:rsidRPr="005878EA">
              <w:t>–</w:t>
            </w:r>
          </w:p>
        </w:tc>
        <w:tc>
          <w:tcPr>
            <w:tcW w:w="6509" w:type="dxa"/>
          </w:tcPr>
          <w:p w14:paraId="6F4AD015" w14:textId="77777777" w:rsidR="008F177A" w:rsidRPr="005878EA" w:rsidRDefault="008F177A" w:rsidP="002B6D6A">
            <w:r w:rsidRPr="005878EA">
              <w:t>7.6 lb/MMscf based on AP-42 Table 1.4-2 dated 7/98</w:t>
            </w:r>
          </w:p>
        </w:tc>
      </w:tr>
      <w:tr w:rsidR="008F177A" w14:paraId="45CAECB0" w14:textId="77777777" w:rsidTr="002B6D6A">
        <w:tc>
          <w:tcPr>
            <w:tcW w:w="1337" w:type="dxa"/>
          </w:tcPr>
          <w:p w14:paraId="20B356B3" w14:textId="77777777" w:rsidR="008F177A" w:rsidRPr="005878EA" w:rsidRDefault="008F177A" w:rsidP="002B6D6A">
            <w:r w:rsidRPr="005878EA">
              <w:t>SO</w:t>
            </w:r>
            <w:r w:rsidRPr="005878EA">
              <w:rPr>
                <w:vertAlign w:val="subscript"/>
              </w:rPr>
              <w:t>2</w:t>
            </w:r>
          </w:p>
        </w:tc>
        <w:tc>
          <w:tcPr>
            <w:tcW w:w="344" w:type="dxa"/>
          </w:tcPr>
          <w:p w14:paraId="1B11DAC2" w14:textId="77777777" w:rsidR="008F177A" w:rsidRPr="005878EA" w:rsidRDefault="008F177A" w:rsidP="002B6D6A">
            <w:r w:rsidRPr="005878EA">
              <w:t>–</w:t>
            </w:r>
          </w:p>
        </w:tc>
        <w:tc>
          <w:tcPr>
            <w:tcW w:w="6509" w:type="dxa"/>
          </w:tcPr>
          <w:p w14:paraId="17021421" w14:textId="77777777" w:rsidR="008F177A" w:rsidRPr="005878EA" w:rsidRDefault="008F177A" w:rsidP="002B6D6A">
            <w:r w:rsidRPr="005878EA">
              <w:t>0.6 lb/MMscf based on AP-42 Table 1.4-2 dated 7/98</w:t>
            </w:r>
          </w:p>
        </w:tc>
      </w:tr>
      <w:tr w:rsidR="008F177A" w14:paraId="6E4FF6CA" w14:textId="77777777" w:rsidTr="002B6D6A">
        <w:tc>
          <w:tcPr>
            <w:tcW w:w="1337" w:type="dxa"/>
          </w:tcPr>
          <w:p w14:paraId="14E6E658" w14:textId="77777777" w:rsidR="008F177A" w:rsidRPr="005878EA" w:rsidRDefault="008F177A" w:rsidP="002B6D6A">
            <w:r w:rsidRPr="005878EA">
              <w:t>NO</w:t>
            </w:r>
            <w:r w:rsidRPr="005878EA">
              <w:rPr>
                <w:vertAlign w:val="subscript"/>
              </w:rPr>
              <w:t>x</w:t>
            </w:r>
          </w:p>
        </w:tc>
        <w:tc>
          <w:tcPr>
            <w:tcW w:w="344" w:type="dxa"/>
          </w:tcPr>
          <w:p w14:paraId="791F7F9A" w14:textId="77777777" w:rsidR="008F177A" w:rsidRPr="005878EA" w:rsidRDefault="008F177A" w:rsidP="002B6D6A">
            <w:r w:rsidRPr="005878EA">
              <w:t>–</w:t>
            </w:r>
          </w:p>
        </w:tc>
        <w:tc>
          <w:tcPr>
            <w:tcW w:w="6509" w:type="dxa"/>
          </w:tcPr>
          <w:p w14:paraId="486F3BA5" w14:textId="4291EC25" w:rsidR="008F177A" w:rsidRPr="005878EA" w:rsidRDefault="008F177A" w:rsidP="002B6D6A">
            <w:r>
              <w:t>0.15 lb/MMBtu 06-096 C.M.R. ch. 115, BPT</w:t>
            </w:r>
          </w:p>
        </w:tc>
      </w:tr>
      <w:tr w:rsidR="008F177A" w14:paraId="15CB44B9" w14:textId="77777777" w:rsidTr="002B6D6A">
        <w:tc>
          <w:tcPr>
            <w:tcW w:w="1337" w:type="dxa"/>
          </w:tcPr>
          <w:p w14:paraId="0CBB9906" w14:textId="77777777" w:rsidR="008F177A" w:rsidRPr="005878EA" w:rsidRDefault="008F177A" w:rsidP="002B6D6A">
            <w:r w:rsidRPr="005878EA">
              <w:t>CO</w:t>
            </w:r>
          </w:p>
        </w:tc>
        <w:tc>
          <w:tcPr>
            <w:tcW w:w="344" w:type="dxa"/>
          </w:tcPr>
          <w:p w14:paraId="13EA358D" w14:textId="77777777" w:rsidR="008F177A" w:rsidRPr="005878EA" w:rsidRDefault="008F177A" w:rsidP="002B6D6A">
            <w:r w:rsidRPr="005878EA">
              <w:t>–</w:t>
            </w:r>
          </w:p>
        </w:tc>
        <w:tc>
          <w:tcPr>
            <w:tcW w:w="6509" w:type="dxa"/>
          </w:tcPr>
          <w:p w14:paraId="1B1528CF" w14:textId="77777777" w:rsidR="008F177A" w:rsidRPr="005878EA" w:rsidRDefault="008F177A" w:rsidP="002B6D6A">
            <w:r w:rsidRPr="005878EA">
              <w:t>84 lb/MMscf based on AP-42 Table 1.4-1 dated 7/98</w:t>
            </w:r>
          </w:p>
        </w:tc>
      </w:tr>
      <w:tr w:rsidR="008F177A" w14:paraId="3C5724DD" w14:textId="77777777" w:rsidTr="002B6D6A">
        <w:tc>
          <w:tcPr>
            <w:tcW w:w="1337" w:type="dxa"/>
          </w:tcPr>
          <w:p w14:paraId="32183789" w14:textId="77777777" w:rsidR="008F177A" w:rsidRPr="005878EA" w:rsidRDefault="008F177A" w:rsidP="008F177A">
            <w:r w:rsidRPr="005878EA">
              <w:t>VOC</w:t>
            </w:r>
          </w:p>
        </w:tc>
        <w:tc>
          <w:tcPr>
            <w:tcW w:w="344" w:type="dxa"/>
          </w:tcPr>
          <w:p w14:paraId="661763CD" w14:textId="77777777" w:rsidR="008F177A" w:rsidRPr="005878EA" w:rsidRDefault="008F177A" w:rsidP="008F177A">
            <w:r w:rsidRPr="005878EA">
              <w:t>–</w:t>
            </w:r>
          </w:p>
        </w:tc>
        <w:tc>
          <w:tcPr>
            <w:tcW w:w="6509" w:type="dxa"/>
          </w:tcPr>
          <w:p w14:paraId="2A5C91EE" w14:textId="3D143D7B" w:rsidR="008F177A" w:rsidRPr="005878EA" w:rsidRDefault="008F177A" w:rsidP="008F177A">
            <w:r>
              <w:t>0.008 lb/MMBtu 06-096 C.M.R. ch. 115, BPT</w:t>
            </w:r>
          </w:p>
        </w:tc>
      </w:tr>
    </w:tbl>
    <w:p w14:paraId="762DFE1C" w14:textId="77777777" w:rsidR="008F177A" w:rsidRDefault="008F177A" w:rsidP="008F177A">
      <w:pPr>
        <w:pStyle w:val="BodyTextIndent3"/>
        <w:ind w:left="1800" w:hanging="1080"/>
      </w:pPr>
    </w:p>
    <w:p w14:paraId="5D7A717B" w14:textId="18B69962" w:rsidR="008F177A" w:rsidRDefault="008F177A" w:rsidP="008F177A">
      <w:pPr>
        <w:ind w:left="1440"/>
        <w:rPr>
          <w:szCs w:val="24"/>
        </w:rPr>
      </w:pPr>
      <w:r>
        <w:rPr>
          <w:szCs w:val="24"/>
        </w:rPr>
        <w:t xml:space="preserve">As natural gas is fired as a supplemental fuel in </w:t>
      </w:r>
      <w:r w:rsidR="008F49C9" w:rsidRPr="008F49C9">
        <w:rPr>
          <w:szCs w:val="24"/>
        </w:rPr>
        <w:t>Cogen Boilers #6 and #7</w:t>
      </w:r>
      <w:r>
        <w:rPr>
          <w:szCs w:val="24"/>
        </w:rPr>
        <w:t xml:space="preserve">, its addition will not change nor has NDP requested that any short-term emission limit </w:t>
      </w:r>
      <w:r w:rsidR="00AB0FEA">
        <w:rPr>
          <w:szCs w:val="24"/>
        </w:rPr>
        <w:t>specified</w:t>
      </w:r>
      <w:r>
        <w:rPr>
          <w:szCs w:val="24"/>
        </w:rPr>
        <w:t xml:space="preserve"> in the facility’s </w:t>
      </w:r>
      <w:r w:rsidR="00AB0FEA">
        <w:rPr>
          <w:szCs w:val="24"/>
        </w:rPr>
        <w:t xml:space="preserve">Part </w:t>
      </w:r>
      <w:r>
        <w:rPr>
          <w:szCs w:val="24"/>
        </w:rPr>
        <w:t xml:space="preserve">70 </w:t>
      </w:r>
      <w:r w:rsidR="00AB0FEA">
        <w:rPr>
          <w:szCs w:val="24"/>
        </w:rPr>
        <w:t>license</w:t>
      </w:r>
      <w:r>
        <w:rPr>
          <w:szCs w:val="24"/>
        </w:rPr>
        <w:t xml:space="preserve"> be modified. This </w:t>
      </w:r>
      <w:r w:rsidR="008F49C9">
        <w:rPr>
          <w:szCs w:val="24"/>
        </w:rPr>
        <w:t xml:space="preserve">project </w:t>
      </w:r>
      <w:r>
        <w:rPr>
          <w:szCs w:val="24"/>
        </w:rPr>
        <w:t xml:space="preserve">will not change the visible emission limits associated with </w:t>
      </w:r>
      <w:r w:rsidR="008F49C9" w:rsidRPr="008F49C9">
        <w:rPr>
          <w:szCs w:val="24"/>
        </w:rPr>
        <w:t>Cogen Boilers #6 and #7</w:t>
      </w:r>
      <w:r w:rsidR="008F49C9">
        <w:rPr>
          <w:szCs w:val="24"/>
        </w:rPr>
        <w:t xml:space="preserve"> </w:t>
      </w:r>
      <w:r w:rsidR="00AB0FEA">
        <w:rPr>
          <w:szCs w:val="24"/>
        </w:rPr>
        <w:t xml:space="preserve">specified </w:t>
      </w:r>
      <w:r>
        <w:rPr>
          <w:szCs w:val="24"/>
        </w:rPr>
        <w:t xml:space="preserve">in the facility’s </w:t>
      </w:r>
      <w:r w:rsidR="00AB0FEA">
        <w:rPr>
          <w:szCs w:val="24"/>
        </w:rPr>
        <w:t xml:space="preserve">Part </w:t>
      </w:r>
      <w:r>
        <w:rPr>
          <w:szCs w:val="24"/>
        </w:rPr>
        <w:t xml:space="preserve">70 </w:t>
      </w:r>
      <w:r w:rsidR="00AB0FEA">
        <w:rPr>
          <w:szCs w:val="24"/>
        </w:rPr>
        <w:t>license</w:t>
      </w:r>
      <w:r>
        <w:rPr>
          <w:szCs w:val="24"/>
        </w:rPr>
        <w:t>.</w:t>
      </w:r>
    </w:p>
    <w:p w14:paraId="128DBC15" w14:textId="77777777" w:rsidR="009D4B91" w:rsidRPr="002775B1" w:rsidRDefault="009D4B91" w:rsidP="00AC1BCD">
      <w:pPr>
        <w:ind w:left="1080"/>
      </w:pPr>
    </w:p>
    <w:p w14:paraId="04351D6B" w14:textId="77777777" w:rsidR="00047D0F" w:rsidRPr="002775B1" w:rsidRDefault="00047D0F" w:rsidP="00AC1BCD">
      <w:pPr>
        <w:pStyle w:val="Heading3"/>
      </w:pPr>
      <w:r w:rsidRPr="002775B1">
        <w:t xml:space="preserve">Incorporation </w:t>
      </w:r>
      <w:r w:rsidR="00822FCB">
        <w:t>I</w:t>
      </w:r>
      <w:r w:rsidRPr="002775B1">
        <w:t>nto the Part 70 Air Emission License</w:t>
      </w:r>
    </w:p>
    <w:p w14:paraId="04B639BD" w14:textId="77777777" w:rsidR="00047D0F" w:rsidRPr="002775B1" w:rsidRDefault="00047D0F" w:rsidP="00AC1BCD">
      <w:pPr>
        <w:ind w:left="720"/>
      </w:pPr>
    </w:p>
    <w:p w14:paraId="5DD1AD0C" w14:textId="6F3866B9" w:rsidR="00047D0F" w:rsidRPr="002775B1" w:rsidRDefault="00823A47" w:rsidP="00AC1BCD">
      <w:pPr>
        <w:ind w:left="720"/>
      </w:pPr>
      <w:r>
        <w:t>Pursuant to</w:t>
      </w:r>
      <w:r w:rsidR="00047D0F" w:rsidRPr="002775B1">
        <w:t xml:space="preserve"> </w:t>
      </w:r>
      <w:r w:rsidR="00047D0F" w:rsidRPr="002775B1">
        <w:rPr>
          <w:i/>
        </w:rPr>
        <w:t>Part 70 Air Emission License Regulations</w:t>
      </w:r>
      <w:r w:rsidR="00EE1B73" w:rsidRPr="002775B1">
        <w:t>, 06-096 C</w:t>
      </w:r>
      <w:r w:rsidR="0096590B">
        <w:t>.</w:t>
      </w:r>
      <w:r w:rsidR="00EE1B73" w:rsidRPr="002775B1">
        <w:t>M</w:t>
      </w:r>
      <w:r w:rsidR="0096590B">
        <w:t>.</w:t>
      </w:r>
      <w:r w:rsidR="00EE1B73" w:rsidRPr="002775B1">
        <w:t>R</w:t>
      </w:r>
      <w:r w:rsidR="0096590B">
        <w:t>. ch. 140</w:t>
      </w:r>
      <w:r w:rsidR="00047D0F" w:rsidRPr="002775B1">
        <w:t xml:space="preserve"> </w:t>
      </w:r>
      <w:r w:rsidR="0096590B">
        <w:t>§</w:t>
      </w:r>
      <w:r w:rsidR="00047D0F" w:rsidRPr="002775B1">
        <w:t xml:space="preserve"> </w:t>
      </w:r>
      <w:r w:rsidR="00617CCA" w:rsidRPr="002775B1">
        <w:t>1</w:t>
      </w:r>
      <w:r w:rsidR="00047D0F" w:rsidRPr="002775B1">
        <w:t>(</w:t>
      </w:r>
      <w:r w:rsidR="00617CCA" w:rsidRPr="002775B1">
        <w:t>C</w:t>
      </w:r>
      <w:r w:rsidR="00047D0F" w:rsidRPr="002775B1">
        <w:t>)(</w:t>
      </w:r>
      <w:r w:rsidR="00617CCA" w:rsidRPr="002775B1">
        <w:t>8</w:t>
      </w:r>
      <w:r w:rsidR="00047D0F" w:rsidRPr="002775B1">
        <w:t xml:space="preserve">), for a modification </w:t>
      </w:r>
      <w:r w:rsidR="0086648A" w:rsidRPr="002775B1">
        <w:t xml:space="preserve">at the facility </w:t>
      </w:r>
      <w:r w:rsidR="00047D0F" w:rsidRPr="002775B1">
        <w:t>that has undergone NSR requirements or been processed through 06-096 C</w:t>
      </w:r>
      <w:r w:rsidR="0096590B">
        <w:t>.</w:t>
      </w:r>
      <w:r w:rsidR="00047D0F" w:rsidRPr="002775B1">
        <w:t>M</w:t>
      </w:r>
      <w:r w:rsidR="0096590B">
        <w:t>.</w:t>
      </w:r>
      <w:r w:rsidR="00047D0F" w:rsidRPr="002775B1">
        <w:t>R</w:t>
      </w:r>
      <w:r w:rsidR="0096590B">
        <w:t>. ch.</w:t>
      </w:r>
      <w:r w:rsidR="00047D0F" w:rsidRPr="002775B1">
        <w:t xml:space="preserve"> 115, the source must apply for an amendment to the</w:t>
      </w:r>
      <w:r w:rsidR="002775B1" w:rsidRPr="002775B1">
        <w:t>ir</w:t>
      </w:r>
      <w:r w:rsidR="00047D0F" w:rsidRPr="002775B1">
        <w:t xml:space="preserve"> Part 70 license within one year of commencing the proposed operations</w:t>
      </w:r>
      <w:r w:rsidR="002775B1" w:rsidRPr="002775B1">
        <w:t>,</w:t>
      </w:r>
      <w:r w:rsidR="00047D0F" w:rsidRPr="002775B1">
        <w:t xml:space="preserve"> as provided in 40</w:t>
      </w:r>
      <w:r w:rsidR="0086648A" w:rsidRPr="002775B1">
        <w:t> </w:t>
      </w:r>
      <w:r w:rsidR="00047D0F" w:rsidRPr="002775B1">
        <w:t>C</w:t>
      </w:r>
      <w:r w:rsidR="0096590B">
        <w:t>.</w:t>
      </w:r>
      <w:r w:rsidR="00047D0F" w:rsidRPr="002775B1">
        <w:t>F</w:t>
      </w:r>
      <w:r w:rsidR="0096590B">
        <w:t>.</w:t>
      </w:r>
      <w:r w:rsidR="00047D0F" w:rsidRPr="002775B1">
        <w:t>R</w:t>
      </w:r>
      <w:r w:rsidR="0096590B">
        <w:t>.</w:t>
      </w:r>
      <w:r w:rsidR="00047D0F" w:rsidRPr="002775B1">
        <w:t xml:space="preserve"> Part 70.5</w:t>
      </w:r>
      <w:r w:rsidR="00507B95">
        <w:t>.</w:t>
      </w:r>
    </w:p>
    <w:p w14:paraId="4FE897B3" w14:textId="77777777" w:rsidR="0021512C" w:rsidRPr="002775B1" w:rsidRDefault="0021512C" w:rsidP="00AC1BCD"/>
    <w:p w14:paraId="29108EE9" w14:textId="77777777" w:rsidR="00793874" w:rsidRPr="002775B1" w:rsidRDefault="00793874" w:rsidP="00AC1BCD">
      <w:pPr>
        <w:pStyle w:val="Heading3"/>
      </w:pPr>
      <w:r w:rsidRPr="002775B1">
        <w:t>Annual Emissions</w:t>
      </w:r>
    </w:p>
    <w:p w14:paraId="7B475529" w14:textId="77777777" w:rsidR="0086564D" w:rsidRPr="002775B1" w:rsidRDefault="0086564D" w:rsidP="00AC1BCD">
      <w:pPr>
        <w:pStyle w:val="BodyTextIndent3"/>
        <w:rPr>
          <w:i/>
        </w:rPr>
      </w:pPr>
    </w:p>
    <w:p w14:paraId="3E5BF5B0" w14:textId="1F1A7323" w:rsidR="003972E5" w:rsidRDefault="003972E5" w:rsidP="00AC1BCD">
      <w:pPr>
        <w:ind w:left="720"/>
        <w:rPr>
          <w:szCs w:val="24"/>
        </w:rPr>
      </w:pPr>
      <w:r>
        <w:rPr>
          <w:szCs w:val="24"/>
        </w:rPr>
        <w:t xml:space="preserve">The table below provides an estimate of facility-wide annual emissions for the purposes of calculating the facility’s annual air license fee. Only licensed equipment is included, i.e., emissions from insignificant activities are excluded. Similarly, unquantifiable fugitive particulate matter emissions are not included except when required by state or federal regulations. Maximum potential emissions were calculated based on the following assumptions: </w:t>
      </w:r>
    </w:p>
    <w:p w14:paraId="68ED3AB3" w14:textId="77777777" w:rsidR="00A269A5" w:rsidRDefault="00A269A5" w:rsidP="00AC1BCD">
      <w:pPr>
        <w:pStyle w:val="BodyTextIndent3"/>
        <w:rPr>
          <w:szCs w:val="24"/>
        </w:rPr>
      </w:pPr>
    </w:p>
    <w:p w14:paraId="70366D61" w14:textId="77777777" w:rsidR="00E262E6" w:rsidRPr="004250B0" w:rsidRDefault="00E262E6" w:rsidP="00E262E6">
      <w:pPr>
        <w:pStyle w:val="BodyTextIndent3"/>
        <w:numPr>
          <w:ilvl w:val="0"/>
          <w:numId w:val="20"/>
        </w:numPr>
        <w:tabs>
          <w:tab w:val="left" w:pos="1080"/>
        </w:tabs>
        <w:ind w:left="1440"/>
        <w:rPr>
          <w:szCs w:val="24"/>
        </w:rPr>
      </w:pPr>
      <w:r>
        <w:rPr>
          <w:szCs w:val="24"/>
        </w:rPr>
        <w:t>Operating at the w</w:t>
      </w:r>
      <w:r w:rsidRPr="004250B0">
        <w:rPr>
          <w:szCs w:val="24"/>
        </w:rPr>
        <w:t>orst-case lb/hr emission limit for 8,760 hr/year for Power Boiler</w:t>
      </w:r>
      <w:r>
        <w:rPr>
          <w:szCs w:val="24"/>
        </w:rPr>
        <w:t> </w:t>
      </w:r>
      <w:r w:rsidRPr="004250B0">
        <w:rPr>
          <w:szCs w:val="24"/>
        </w:rPr>
        <w:t>#3, Cogen Boilers #6 and #7, the Lime Kiln, Recovery Boiler C, Smelt Tank</w:t>
      </w:r>
      <w:r>
        <w:rPr>
          <w:szCs w:val="24"/>
        </w:rPr>
        <w:t> </w:t>
      </w:r>
      <w:r w:rsidRPr="004250B0">
        <w:rPr>
          <w:szCs w:val="24"/>
        </w:rPr>
        <w:t xml:space="preserve">C, </w:t>
      </w:r>
      <w:r>
        <w:rPr>
          <w:szCs w:val="24"/>
        </w:rPr>
        <w:t xml:space="preserve">and </w:t>
      </w:r>
      <w:r w:rsidRPr="004250B0">
        <w:rPr>
          <w:szCs w:val="24"/>
        </w:rPr>
        <w:t>R-10 Dryers #1 - #4;</w:t>
      </w:r>
    </w:p>
    <w:p w14:paraId="730F1F97" w14:textId="77777777" w:rsidR="00E262E6" w:rsidRPr="004250B0" w:rsidRDefault="00E262E6" w:rsidP="00E262E6">
      <w:pPr>
        <w:pStyle w:val="BodyTextIndent3"/>
        <w:numPr>
          <w:ilvl w:val="0"/>
          <w:numId w:val="20"/>
        </w:numPr>
        <w:tabs>
          <w:tab w:val="left" w:pos="1080"/>
        </w:tabs>
        <w:ind w:left="1440"/>
        <w:rPr>
          <w:szCs w:val="24"/>
        </w:rPr>
      </w:pPr>
      <w:r w:rsidRPr="004250B0">
        <w:rPr>
          <w:szCs w:val="24"/>
        </w:rPr>
        <w:t xml:space="preserve">A </w:t>
      </w:r>
      <w:r>
        <w:rPr>
          <w:szCs w:val="24"/>
        </w:rPr>
        <w:t>heat input</w:t>
      </w:r>
      <w:r w:rsidRPr="004250B0">
        <w:rPr>
          <w:szCs w:val="24"/>
        </w:rPr>
        <w:t xml:space="preserve"> limit of 812,808 MMBtu/year for all building heaters combined;</w:t>
      </w:r>
    </w:p>
    <w:p w14:paraId="263BDFB7" w14:textId="77777777" w:rsidR="00E262E6" w:rsidRPr="004250B0" w:rsidRDefault="00E262E6" w:rsidP="00E262E6">
      <w:pPr>
        <w:pStyle w:val="BodyTextIndent3"/>
        <w:numPr>
          <w:ilvl w:val="0"/>
          <w:numId w:val="20"/>
        </w:numPr>
        <w:tabs>
          <w:tab w:val="left" w:pos="1080"/>
        </w:tabs>
        <w:ind w:left="1440"/>
        <w:rPr>
          <w:szCs w:val="24"/>
        </w:rPr>
      </w:pPr>
      <w:r w:rsidRPr="004250B0">
        <w:rPr>
          <w:szCs w:val="24"/>
        </w:rPr>
        <w:t>Worst-case emissions from the paper machines and pulp dryer as outlined in A</w:t>
      </w:r>
      <w:r w:rsidRPr="004250B0">
        <w:rPr>
          <w:szCs w:val="24"/>
        </w:rPr>
        <w:noBreakHyphen/>
        <w:t>214</w:t>
      </w:r>
      <w:r w:rsidRPr="004250B0">
        <w:rPr>
          <w:szCs w:val="24"/>
        </w:rPr>
        <w:noBreakHyphen/>
        <w:t>77-18-A (11/18/2020);</w:t>
      </w:r>
    </w:p>
    <w:p w14:paraId="62022CB2" w14:textId="77777777" w:rsidR="00E262E6" w:rsidRPr="004250B0" w:rsidRDefault="00E262E6" w:rsidP="00E262E6">
      <w:pPr>
        <w:pStyle w:val="BodyTextIndent3"/>
        <w:numPr>
          <w:ilvl w:val="0"/>
          <w:numId w:val="20"/>
        </w:numPr>
        <w:tabs>
          <w:tab w:val="left" w:pos="1080"/>
        </w:tabs>
        <w:ind w:left="1440"/>
        <w:rPr>
          <w:szCs w:val="24"/>
        </w:rPr>
      </w:pPr>
      <w:r w:rsidRPr="004250B0">
        <w:rPr>
          <w:szCs w:val="24"/>
        </w:rPr>
        <w:t>Operating each emergency stationary engine for 100 hr/year; and</w:t>
      </w:r>
    </w:p>
    <w:p w14:paraId="087991DE" w14:textId="77777777" w:rsidR="00E262E6" w:rsidRPr="004250B0" w:rsidRDefault="00E262E6" w:rsidP="00E262E6">
      <w:pPr>
        <w:pStyle w:val="BodyTextIndent3"/>
        <w:numPr>
          <w:ilvl w:val="0"/>
          <w:numId w:val="20"/>
        </w:numPr>
        <w:tabs>
          <w:tab w:val="left" w:pos="1080"/>
        </w:tabs>
        <w:ind w:left="1440"/>
        <w:rPr>
          <w:szCs w:val="24"/>
        </w:rPr>
      </w:pPr>
      <w:r w:rsidRPr="004250B0">
        <w:rPr>
          <w:szCs w:val="24"/>
        </w:rPr>
        <w:t>Operation of the Lime Kiln Auxiliary Drive for 8,760 hr/year.</w:t>
      </w:r>
    </w:p>
    <w:p w14:paraId="6A01407A" w14:textId="77777777" w:rsidR="0009617B" w:rsidRDefault="0009617B" w:rsidP="00AC1BCD"/>
    <w:p w14:paraId="259D6A9A" w14:textId="5FD474D0" w:rsidR="00E262E6" w:rsidRDefault="009348E7" w:rsidP="007E7F1F">
      <w:pPr>
        <w:pStyle w:val="BodyTextIndent3"/>
        <w:rPr>
          <w:b/>
        </w:rPr>
      </w:pPr>
      <w:r>
        <w:t>This information does not represent a comprehensive list of license restrictions or permissions. That information is provided in the Order section of this license</w:t>
      </w:r>
      <w:r w:rsidRPr="00682BE8">
        <w:t>, previously issued NSR licenses, and the facility’s Part 70 license and amendments to that license</w:t>
      </w:r>
      <w:r>
        <w:t xml:space="preserve">. </w:t>
      </w:r>
      <w:r w:rsidR="00E262E6">
        <w:rPr>
          <w:b/>
        </w:rPr>
        <w:br w:type="page"/>
      </w:r>
    </w:p>
    <w:p w14:paraId="130C5B82" w14:textId="6A5DA55A" w:rsidR="00E262E6" w:rsidRPr="004250B0" w:rsidRDefault="00E262E6" w:rsidP="00E262E6">
      <w:pPr>
        <w:jc w:val="center"/>
        <w:rPr>
          <w:b/>
        </w:rPr>
      </w:pPr>
      <w:r w:rsidRPr="004250B0">
        <w:rPr>
          <w:b/>
        </w:rPr>
        <w:lastRenderedPageBreak/>
        <w:t>Total Licensed Annual Emissions for the Facility</w:t>
      </w:r>
    </w:p>
    <w:p w14:paraId="5C1F433F" w14:textId="77777777" w:rsidR="00E262E6" w:rsidRPr="004250B0" w:rsidRDefault="00E262E6" w:rsidP="00E262E6">
      <w:pPr>
        <w:jc w:val="center"/>
        <w:rPr>
          <w:b/>
        </w:rPr>
      </w:pPr>
      <w:r w:rsidRPr="004250B0">
        <w:rPr>
          <w:b/>
        </w:rPr>
        <w:t>Tons/year</w:t>
      </w:r>
    </w:p>
    <w:p w14:paraId="3663AA7E" w14:textId="77777777" w:rsidR="00E262E6" w:rsidRPr="004250B0" w:rsidRDefault="00E262E6" w:rsidP="00E262E6">
      <w:pPr>
        <w:jc w:val="center"/>
        <w:rPr>
          <w:szCs w:val="24"/>
        </w:rPr>
      </w:pPr>
      <w:r w:rsidRPr="004250B0">
        <w:rPr>
          <w:szCs w:val="24"/>
        </w:rPr>
        <w:t>(used to calculate the annual license fee)</w:t>
      </w:r>
    </w:p>
    <w:p w14:paraId="28907F1D" w14:textId="77777777" w:rsidR="00E262E6" w:rsidRDefault="00E262E6" w:rsidP="00E26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szCs w:val="24"/>
        </w:rPr>
      </w:pP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2"/>
        <w:gridCol w:w="1044"/>
        <w:gridCol w:w="1045"/>
        <w:gridCol w:w="1043"/>
        <w:gridCol w:w="1044"/>
        <w:gridCol w:w="1043"/>
        <w:gridCol w:w="1044"/>
      </w:tblGrid>
      <w:tr w:rsidR="00E262E6" w14:paraId="70C00FFD" w14:textId="77777777" w:rsidTr="002B6D6A">
        <w:trPr>
          <w:trHeight w:val="233"/>
          <w:tblHeader/>
          <w:jc w:val="center"/>
        </w:trPr>
        <w:tc>
          <w:tcPr>
            <w:tcW w:w="2902" w:type="dxa"/>
            <w:tcBorders>
              <w:top w:val="double" w:sz="4" w:space="0" w:color="auto"/>
              <w:left w:val="double" w:sz="4" w:space="0" w:color="auto"/>
              <w:bottom w:val="single" w:sz="4" w:space="0" w:color="auto"/>
              <w:right w:val="single" w:sz="4" w:space="0" w:color="auto"/>
            </w:tcBorders>
            <w:shd w:val="clear" w:color="auto" w:fill="D9D9D9" w:themeFill="background1" w:themeFillShade="D9"/>
            <w:hideMark/>
          </w:tcPr>
          <w:p w14:paraId="4A693F1F" w14:textId="77777777" w:rsidR="00E262E6"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Cs w:val="24"/>
              </w:rPr>
            </w:pPr>
            <w:r>
              <w:rPr>
                <w:b/>
                <w:szCs w:val="24"/>
              </w:rPr>
              <w:t>Unit</w:t>
            </w:r>
          </w:p>
        </w:tc>
        <w:tc>
          <w:tcPr>
            <w:tcW w:w="1044"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2A75BF5" w14:textId="77777777" w:rsidR="00E262E6"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Cs w:val="24"/>
              </w:rPr>
            </w:pPr>
            <w:r>
              <w:rPr>
                <w:b/>
                <w:szCs w:val="24"/>
              </w:rPr>
              <w:t>PM</w:t>
            </w:r>
          </w:p>
        </w:tc>
        <w:tc>
          <w:tcPr>
            <w:tcW w:w="1045"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97F9BB9" w14:textId="77777777" w:rsidR="00E262E6"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Cs w:val="24"/>
                <w:vertAlign w:val="subscript"/>
              </w:rPr>
            </w:pPr>
            <w:r>
              <w:rPr>
                <w:b/>
                <w:szCs w:val="24"/>
              </w:rPr>
              <w:t>PM</w:t>
            </w:r>
            <w:r>
              <w:rPr>
                <w:b/>
                <w:szCs w:val="24"/>
                <w:vertAlign w:val="subscript"/>
              </w:rPr>
              <w:t>10</w:t>
            </w:r>
          </w:p>
        </w:tc>
        <w:tc>
          <w:tcPr>
            <w:tcW w:w="1043"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F85DA41" w14:textId="77777777" w:rsidR="00E262E6"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Cs w:val="24"/>
                <w:vertAlign w:val="subscript"/>
              </w:rPr>
            </w:pPr>
            <w:r>
              <w:rPr>
                <w:b/>
                <w:szCs w:val="24"/>
              </w:rPr>
              <w:t>SO</w:t>
            </w:r>
            <w:r>
              <w:rPr>
                <w:b/>
                <w:szCs w:val="24"/>
                <w:vertAlign w:val="subscript"/>
              </w:rPr>
              <w:t>2</w:t>
            </w:r>
          </w:p>
        </w:tc>
        <w:tc>
          <w:tcPr>
            <w:tcW w:w="1044"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D12C57B" w14:textId="77777777" w:rsidR="00E262E6"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Cs w:val="24"/>
                <w:vertAlign w:val="subscript"/>
              </w:rPr>
            </w:pPr>
            <w:r>
              <w:rPr>
                <w:b/>
                <w:szCs w:val="24"/>
              </w:rPr>
              <w:t>NO</w:t>
            </w:r>
            <w:r>
              <w:rPr>
                <w:b/>
                <w:szCs w:val="24"/>
                <w:vertAlign w:val="subscript"/>
              </w:rPr>
              <w:t>x</w:t>
            </w:r>
          </w:p>
        </w:tc>
        <w:tc>
          <w:tcPr>
            <w:tcW w:w="1043"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42EDFAC" w14:textId="77777777" w:rsidR="00E262E6"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Cs w:val="24"/>
              </w:rPr>
            </w:pPr>
            <w:r>
              <w:rPr>
                <w:b/>
                <w:szCs w:val="24"/>
              </w:rPr>
              <w:t>CO</w:t>
            </w:r>
          </w:p>
        </w:tc>
        <w:tc>
          <w:tcPr>
            <w:tcW w:w="1044" w:type="dxa"/>
            <w:tcBorders>
              <w:top w:val="double" w:sz="4" w:space="0" w:color="auto"/>
              <w:left w:val="single" w:sz="4" w:space="0" w:color="auto"/>
              <w:bottom w:val="single" w:sz="4" w:space="0" w:color="auto"/>
              <w:right w:val="double" w:sz="4" w:space="0" w:color="auto"/>
            </w:tcBorders>
            <w:shd w:val="clear" w:color="auto" w:fill="D9D9D9" w:themeFill="background1" w:themeFillShade="D9"/>
            <w:vAlign w:val="bottom"/>
            <w:hideMark/>
          </w:tcPr>
          <w:p w14:paraId="154770D3" w14:textId="77777777" w:rsidR="00E262E6"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Cs w:val="24"/>
              </w:rPr>
            </w:pPr>
            <w:r>
              <w:rPr>
                <w:b/>
                <w:szCs w:val="24"/>
              </w:rPr>
              <w:t>VOC</w:t>
            </w:r>
          </w:p>
        </w:tc>
      </w:tr>
      <w:tr w:rsidR="00E262E6" w14:paraId="2B47C3EF" w14:textId="77777777" w:rsidTr="002B6D6A">
        <w:trPr>
          <w:trHeight w:val="285"/>
          <w:jc w:val="center"/>
        </w:trPr>
        <w:tc>
          <w:tcPr>
            <w:tcW w:w="2902" w:type="dxa"/>
            <w:tcBorders>
              <w:top w:val="single" w:sz="4" w:space="0" w:color="auto"/>
              <w:left w:val="double" w:sz="4" w:space="0" w:color="auto"/>
              <w:bottom w:val="single" w:sz="4" w:space="0" w:color="auto"/>
              <w:right w:val="single" w:sz="4" w:space="0" w:color="auto"/>
            </w:tcBorders>
            <w:vAlign w:val="center"/>
            <w:hideMark/>
          </w:tcPr>
          <w:p w14:paraId="133245BD"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3D5B02">
              <w:rPr>
                <w:sz w:val="22"/>
                <w:szCs w:val="22"/>
              </w:rPr>
              <w:t>Cogen Boiler #6</w:t>
            </w:r>
          </w:p>
        </w:tc>
        <w:tc>
          <w:tcPr>
            <w:tcW w:w="1044" w:type="dxa"/>
            <w:tcBorders>
              <w:top w:val="single" w:sz="4" w:space="0" w:color="auto"/>
              <w:left w:val="single" w:sz="4" w:space="0" w:color="auto"/>
              <w:bottom w:val="single" w:sz="4" w:space="0" w:color="auto"/>
              <w:right w:val="single" w:sz="4" w:space="0" w:color="auto"/>
            </w:tcBorders>
            <w:vAlign w:val="center"/>
          </w:tcPr>
          <w:p w14:paraId="0AAA1BA3"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D5B02">
              <w:rPr>
                <w:color w:val="000000"/>
                <w:sz w:val="22"/>
                <w:szCs w:val="22"/>
              </w:rPr>
              <w:t>82.8</w:t>
            </w:r>
          </w:p>
        </w:tc>
        <w:tc>
          <w:tcPr>
            <w:tcW w:w="1045" w:type="dxa"/>
            <w:tcBorders>
              <w:top w:val="single" w:sz="4" w:space="0" w:color="auto"/>
              <w:left w:val="single" w:sz="4" w:space="0" w:color="auto"/>
              <w:bottom w:val="single" w:sz="4" w:space="0" w:color="auto"/>
              <w:right w:val="single" w:sz="4" w:space="0" w:color="auto"/>
            </w:tcBorders>
            <w:vAlign w:val="center"/>
          </w:tcPr>
          <w:p w14:paraId="3AF2E3A1"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D5B02">
              <w:rPr>
                <w:color w:val="000000"/>
                <w:sz w:val="22"/>
                <w:szCs w:val="22"/>
              </w:rPr>
              <w:t>82.8</w:t>
            </w:r>
          </w:p>
        </w:tc>
        <w:tc>
          <w:tcPr>
            <w:tcW w:w="1043" w:type="dxa"/>
            <w:tcBorders>
              <w:top w:val="single" w:sz="4" w:space="0" w:color="auto"/>
              <w:left w:val="single" w:sz="4" w:space="0" w:color="auto"/>
              <w:bottom w:val="single" w:sz="4" w:space="0" w:color="auto"/>
              <w:right w:val="single" w:sz="4" w:space="0" w:color="auto"/>
            </w:tcBorders>
            <w:vAlign w:val="center"/>
          </w:tcPr>
          <w:p w14:paraId="13135FCC"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D5B02">
              <w:rPr>
                <w:color w:val="000000"/>
                <w:sz w:val="22"/>
                <w:szCs w:val="22"/>
              </w:rPr>
              <w:t>772.6</w:t>
            </w:r>
          </w:p>
        </w:tc>
        <w:tc>
          <w:tcPr>
            <w:tcW w:w="1044" w:type="dxa"/>
            <w:tcBorders>
              <w:top w:val="single" w:sz="4" w:space="0" w:color="auto"/>
              <w:left w:val="single" w:sz="4" w:space="0" w:color="auto"/>
              <w:bottom w:val="single" w:sz="4" w:space="0" w:color="auto"/>
              <w:right w:val="single" w:sz="4" w:space="0" w:color="auto"/>
            </w:tcBorders>
            <w:vAlign w:val="center"/>
          </w:tcPr>
          <w:p w14:paraId="694ED373"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D5B02">
              <w:rPr>
                <w:color w:val="000000"/>
                <w:sz w:val="22"/>
                <w:szCs w:val="22"/>
              </w:rPr>
              <w:t>1,655.60</w:t>
            </w:r>
          </w:p>
        </w:tc>
        <w:tc>
          <w:tcPr>
            <w:tcW w:w="1043" w:type="dxa"/>
            <w:tcBorders>
              <w:top w:val="single" w:sz="4" w:space="0" w:color="auto"/>
              <w:left w:val="single" w:sz="4" w:space="0" w:color="auto"/>
              <w:bottom w:val="single" w:sz="4" w:space="0" w:color="auto"/>
              <w:right w:val="single" w:sz="4" w:space="0" w:color="auto"/>
            </w:tcBorders>
            <w:vAlign w:val="center"/>
          </w:tcPr>
          <w:p w14:paraId="1012C16A"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D5B02">
              <w:rPr>
                <w:color w:val="000000"/>
                <w:sz w:val="22"/>
                <w:szCs w:val="22"/>
              </w:rPr>
              <w:t>1,090.00</w:t>
            </w:r>
          </w:p>
        </w:tc>
        <w:tc>
          <w:tcPr>
            <w:tcW w:w="1044" w:type="dxa"/>
            <w:tcBorders>
              <w:top w:val="single" w:sz="4" w:space="0" w:color="auto"/>
              <w:left w:val="single" w:sz="4" w:space="0" w:color="auto"/>
              <w:bottom w:val="single" w:sz="4" w:space="0" w:color="auto"/>
              <w:right w:val="double" w:sz="4" w:space="0" w:color="auto"/>
            </w:tcBorders>
            <w:vAlign w:val="center"/>
          </w:tcPr>
          <w:p w14:paraId="3A92C2CB"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D5B02">
              <w:rPr>
                <w:color w:val="000000"/>
                <w:sz w:val="22"/>
                <w:szCs w:val="22"/>
              </w:rPr>
              <w:t>22.1</w:t>
            </w:r>
          </w:p>
        </w:tc>
      </w:tr>
      <w:tr w:rsidR="00E262E6" w14:paraId="4901C559" w14:textId="77777777" w:rsidTr="002B6D6A">
        <w:trPr>
          <w:trHeight w:val="285"/>
          <w:jc w:val="center"/>
        </w:trPr>
        <w:tc>
          <w:tcPr>
            <w:tcW w:w="2902" w:type="dxa"/>
            <w:tcBorders>
              <w:top w:val="single" w:sz="4" w:space="0" w:color="auto"/>
              <w:left w:val="double" w:sz="4" w:space="0" w:color="auto"/>
              <w:bottom w:val="single" w:sz="4" w:space="0" w:color="auto"/>
              <w:right w:val="single" w:sz="4" w:space="0" w:color="auto"/>
            </w:tcBorders>
            <w:vAlign w:val="center"/>
            <w:hideMark/>
          </w:tcPr>
          <w:p w14:paraId="7B3467A9"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3D5B02">
              <w:rPr>
                <w:sz w:val="22"/>
                <w:szCs w:val="22"/>
              </w:rPr>
              <w:t>Cogen Boiler #7</w:t>
            </w:r>
          </w:p>
        </w:tc>
        <w:tc>
          <w:tcPr>
            <w:tcW w:w="1044" w:type="dxa"/>
            <w:tcBorders>
              <w:top w:val="single" w:sz="4" w:space="0" w:color="auto"/>
              <w:left w:val="single" w:sz="4" w:space="0" w:color="auto"/>
              <w:bottom w:val="single" w:sz="4" w:space="0" w:color="auto"/>
              <w:right w:val="single" w:sz="4" w:space="0" w:color="auto"/>
            </w:tcBorders>
            <w:vAlign w:val="center"/>
          </w:tcPr>
          <w:p w14:paraId="2479B54F"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D5B02">
              <w:rPr>
                <w:color w:val="000000"/>
                <w:sz w:val="22"/>
                <w:szCs w:val="22"/>
              </w:rPr>
              <w:t>82.8</w:t>
            </w:r>
          </w:p>
        </w:tc>
        <w:tc>
          <w:tcPr>
            <w:tcW w:w="1045" w:type="dxa"/>
            <w:tcBorders>
              <w:top w:val="single" w:sz="4" w:space="0" w:color="auto"/>
              <w:left w:val="single" w:sz="4" w:space="0" w:color="auto"/>
              <w:bottom w:val="single" w:sz="4" w:space="0" w:color="auto"/>
              <w:right w:val="single" w:sz="4" w:space="0" w:color="auto"/>
            </w:tcBorders>
            <w:vAlign w:val="center"/>
          </w:tcPr>
          <w:p w14:paraId="6C2D555D"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D5B02">
              <w:rPr>
                <w:color w:val="000000"/>
                <w:sz w:val="22"/>
                <w:szCs w:val="22"/>
              </w:rPr>
              <w:t>82.8</w:t>
            </w:r>
          </w:p>
        </w:tc>
        <w:tc>
          <w:tcPr>
            <w:tcW w:w="1043" w:type="dxa"/>
            <w:tcBorders>
              <w:top w:val="single" w:sz="4" w:space="0" w:color="auto"/>
              <w:left w:val="single" w:sz="4" w:space="0" w:color="auto"/>
              <w:bottom w:val="single" w:sz="4" w:space="0" w:color="auto"/>
              <w:right w:val="single" w:sz="4" w:space="0" w:color="auto"/>
            </w:tcBorders>
            <w:vAlign w:val="center"/>
          </w:tcPr>
          <w:p w14:paraId="2230BD6F"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D5B02">
              <w:rPr>
                <w:color w:val="000000"/>
                <w:sz w:val="22"/>
                <w:szCs w:val="22"/>
              </w:rPr>
              <w:t>772.6</w:t>
            </w:r>
          </w:p>
        </w:tc>
        <w:tc>
          <w:tcPr>
            <w:tcW w:w="1044" w:type="dxa"/>
            <w:tcBorders>
              <w:top w:val="single" w:sz="4" w:space="0" w:color="auto"/>
              <w:left w:val="single" w:sz="4" w:space="0" w:color="auto"/>
              <w:bottom w:val="single" w:sz="4" w:space="0" w:color="auto"/>
              <w:right w:val="single" w:sz="4" w:space="0" w:color="auto"/>
            </w:tcBorders>
            <w:vAlign w:val="center"/>
          </w:tcPr>
          <w:p w14:paraId="42E00D7C"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D5B02">
              <w:rPr>
                <w:color w:val="000000"/>
                <w:sz w:val="22"/>
                <w:szCs w:val="22"/>
              </w:rPr>
              <w:t>1,655.60</w:t>
            </w:r>
          </w:p>
        </w:tc>
        <w:tc>
          <w:tcPr>
            <w:tcW w:w="1043" w:type="dxa"/>
            <w:tcBorders>
              <w:top w:val="single" w:sz="4" w:space="0" w:color="auto"/>
              <w:left w:val="single" w:sz="4" w:space="0" w:color="auto"/>
              <w:bottom w:val="single" w:sz="4" w:space="0" w:color="auto"/>
              <w:right w:val="single" w:sz="4" w:space="0" w:color="auto"/>
            </w:tcBorders>
            <w:vAlign w:val="center"/>
          </w:tcPr>
          <w:p w14:paraId="287236CC"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D5B02">
              <w:rPr>
                <w:color w:val="000000"/>
                <w:sz w:val="22"/>
                <w:szCs w:val="22"/>
              </w:rPr>
              <w:t>1,090.00</w:t>
            </w:r>
          </w:p>
        </w:tc>
        <w:tc>
          <w:tcPr>
            <w:tcW w:w="1044" w:type="dxa"/>
            <w:tcBorders>
              <w:top w:val="single" w:sz="4" w:space="0" w:color="auto"/>
              <w:left w:val="single" w:sz="4" w:space="0" w:color="auto"/>
              <w:bottom w:val="single" w:sz="4" w:space="0" w:color="auto"/>
              <w:right w:val="double" w:sz="4" w:space="0" w:color="auto"/>
            </w:tcBorders>
            <w:vAlign w:val="center"/>
          </w:tcPr>
          <w:p w14:paraId="40AD0767"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D5B02">
              <w:rPr>
                <w:color w:val="000000"/>
                <w:sz w:val="22"/>
                <w:szCs w:val="22"/>
              </w:rPr>
              <w:t>22.1</w:t>
            </w:r>
          </w:p>
        </w:tc>
      </w:tr>
      <w:tr w:rsidR="00E262E6" w14:paraId="42A52789" w14:textId="77777777" w:rsidTr="002B6D6A">
        <w:trPr>
          <w:trHeight w:val="285"/>
          <w:jc w:val="center"/>
        </w:trPr>
        <w:tc>
          <w:tcPr>
            <w:tcW w:w="2902" w:type="dxa"/>
            <w:tcBorders>
              <w:top w:val="single" w:sz="4" w:space="0" w:color="auto"/>
              <w:left w:val="double" w:sz="4" w:space="0" w:color="auto"/>
              <w:bottom w:val="single" w:sz="4" w:space="0" w:color="auto"/>
              <w:right w:val="single" w:sz="4" w:space="0" w:color="auto"/>
            </w:tcBorders>
            <w:vAlign w:val="center"/>
          </w:tcPr>
          <w:p w14:paraId="63FCB362"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Power Boiler #3</w:t>
            </w:r>
          </w:p>
        </w:tc>
        <w:tc>
          <w:tcPr>
            <w:tcW w:w="1044" w:type="dxa"/>
            <w:tcBorders>
              <w:top w:val="single" w:sz="4" w:space="0" w:color="auto"/>
              <w:left w:val="single" w:sz="4" w:space="0" w:color="auto"/>
              <w:bottom w:val="single" w:sz="4" w:space="0" w:color="auto"/>
              <w:right w:val="single" w:sz="4" w:space="0" w:color="auto"/>
            </w:tcBorders>
            <w:vAlign w:val="center"/>
          </w:tcPr>
          <w:p w14:paraId="707A9E73"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color w:val="000000"/>
                <w:sz w:val="22"/>
                <w:szCs w:val="22"/>
              </w:rPr>
            </w:pPr>
            <w:r w:rsidRPr="003D5B02">
              <w:rPr>
                <w:color w:val="000000"/>
                <w:sz w:val="22"/>
                <w:szCs w:val="22"/>
              </w:rPr>
              <w:t>65.7</w:t>
            </w:r>
          </w:p>
        </w:tc>
        <w:tc>
          <w:tcPr>
            <w:tcW w:w="1045" w:type="dxa"/>
            <w:tcBorders>
              <w:top w:val="single" w:sz="4" w:space="0" w:color="auto"/>
              <w:left w:val="single" w:sz="4" w:space="0" w:color="auto"/>
              <w:bottom w:val="single" w:sz="4" w:space="0" w:color="auto"/>
              <w:right w:val="single" w:sz="4" w:space="0" w:color="auto"/>
            </w:tcBorders>
            <w:vAlign w:val="center"/>
          </w:tcPr>
          <w:p w14:paraId="2B1D988A"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color w:val="000000"/>
                <w:sz w:val="22"/>
                <w:szCs w:val="22"/>
              </w:rPr>
            </w:pPr>
            <w:r w:rsidRPr="003D5B02">
              <w:rPr>
                <w:color w:val="000000"/>
                <w:sz w:val="22"/>
                <w:szCs w:val="22"/>
              </w:rPr>
              <w:t>65.7</w:t>
            </w:r>
          </w:p>
        </w:tc>
        <w:tc>
          <w:tcPr>
            <w:tcW w:w="1043" w:type="dxa"/>
            <w:tcBorders>
              <w:top w:val="single" w:sz="4" w:space="0" w:color="auto"/>
              <w:left w:val="single" w:sz="4" w:space="0" w:color="auto"/>
              <w:bottom w:val="single" w:sz="4" w:space="0" w:color="auto"/>
              <w:right w:val="single" w:sz="4" w:space="0" w:color="auto"/>
            </w:tcBorders>
            <w:vAlign w:val="center"/>
          </w:tcPr>
          <w:p w14:paraId="2971BC3A"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color w:val="000000"/>
                <w:sz w:val="22"/>
                <w:szCs w:val="22"/>
              </w:rPr>
            </w:pPr>
            <w:r w:rsidRPr="003D5B02">
              <w:rPr>
                <w:color w:val="000000"/>
                <w:sz w:val="22"/>
                <w:szCs w:val="22"/>
              </w:rPr>
              <w:t>341.6</w:t>
            </w:r>
          </w:p>
        </w:tc>
        <w:tc>
          <w:tcPr>
            <w:tcW w:w="1044" w:type="dxa"/>
            <w:tcBorders>
              <w:top w:val="single" w:sz="4" w:space="0" w:color="auto"/>
              <w:left w:val="single" w:sz="4" w:space="0" w:color="auto"/>
              <w:bottom w:val="single" w:sz="4" w:space="0" w:color="auto"/>
              <w:right w:val="single" w:sz="4" w:space="0" w:color="auto"/>
            </w:tcBorders>
            <w:vAlign w:val="center"/>
          </w:tcPr>
          <w:p w14:paraId="0B4ECB99"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color w:val="000000"/>
                <w:sz w:val="22"/>
                <w:szCs w:val="22"/>
              </w:rPr>
            </w:pPr>
            <w:r w:rsidRPr="003D5B02">
              <w:rPr>
                <w:color w:val="000000"/>
                <w:sz w:val="22"/>
                <w:szCs w:val="22"/>
              </w:rPr>
              <w:t>525.60</w:t>
            </w:r>
          </w:p>
        </w:tc>
        <w:tc>
          <w:tcPr>
            <w:tcW w:w="1043" w:type="dxa"/>
            <w:tcBorders>
              <w:top w:val="single" w:sz="4" w:space="0" w:color="auto"/>
              <w:left w:val="single" w:sz="4" w:space="0" w:color="auto"/>
              <w:bottom w:val="single" w:sz="4" w:space="0" w:color="auto"/>
              <w:right w:val="single" w:sz="4" w:space="0" w:color="auto"/>
            </w:tcBorders>
            <w:vAlign w:val="center"/>
          </w:tcPr>
          <w:p w14:paraId="68E56DD8"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color w:val="000000"/>
                <w:sz w:val="22"/>
                <w:szCs w:val="22"/>
              </w:rPr>
            </w:pPr>
            <w:r w:rsidRPr="003D5B02">
              <w:rPr>
                <w:color w:val="000000"/>
                <w:sz w:val="22"/>
                <w:szCs w:val="22"/>
              </w:rPr>
              <w:t>262.80</w:t>
            </w:r>
          </w:p>
        </w:tc>
        <w:tc>
          <w:tcPr>
            <w:tcW w:w="1044" w:type="dxa"/>
            <w:tcBorders>
              <w:top w:val="single" w:sz="4" w:space="0" w:color="auto"/>
              <w:left w:val="single" w:sz="4" w:space="0" w:color="auto"/>
              <w:bottom w:val="single" w:sz="4" w:space="0" w:color="auto"/>
              <w:right w:val="double" w:sz="4" w:space="0" w:color="auto"/>
            </w:tcBorders>
            <w:vAlign w:val="center"/>
          </w:tcPr>
          <w:p w14:paraId="44B3D953" w14:textId="77777777" w:rsidR="00E262E6" w:rsidRPr="003D5B02"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color w:val="000000"/>
                <w:sz w:val="22"/>
                <w:szCs w:val="22"/>
              </w:rPr>
            </w:pPr>
            <w:r w:rsidRPr="003D5B02">
              <w:rPr>
                <w:color w:val="000000"/>
                <w:sz w:val="22"/>
                <w:szCs w:val="22"/>
              </w:rPr>
              <w:t>19.7</w:t>
            </w:r>
          </w:p>
        </w:tc>
      </w:tr>
      <w:tr w:rsidR="00E262E6" w:rsidRPr="006E6CAA" w14:paraId="0BB5E71F" w14:textId="77777777" w:rsidTr="002B6D6A">
        <w:trPr>
          <w:trHeight w:val="285"/>
          <w:jc w:val="center"/>
        </w:trPr>
        <w:tc>
          <w:tcPr>
            <w:tcW w:w="2902" w:type="dxa"/>
            <w:tcBorders>
              <w:top w:val="single" w:sz="4" w:space="0" w:color="auto"/>
              <w:left w:val="double" w:sz="4" w:space="0" w:color="auto"/>
              <w:bottom w:val="single" w:sz="4" w:space="0" w:color="auto"/>
              <w:right w:val="single" w:sz="4" w:space="0" w:color="auto"/>
            </w:tcBorders>
            <w:vAlign w:val="center"/>
            <w:hideMark/>
          </w:tcPr>
          <w:p w14:paraId="54EA7934"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6E6CAA">
              <w:rPr>
                <w:sz w:val="22"/>
                <w:szCs w:val="22"/>
              </w:rPr>
              <w:t>Lime Kiln</w:t>
            </w:r>
          </w:p>
        </w:tc>
        <w:tc>
          <w:tcPr>
            <w:tcW w:w="1044" w:type="dxa"/>
            <w:tcBorders>
              <w:top w:val="single" w:sz="4" w:space="0" w:color="auto"/>
              <w:left w:val="single" w:sz="4" w:space="0" w:color="auto"/>
              <w:bottom w:val="single" w:sz="4" w:space="0" w:color="auto"/>
              <w:right w:val="single" w:sz="4" w:space="0" w:color="auto"/>
            </w:tcBorders>
            <w:vAlign w:val="center"/>
          </w:tcPr>
          <w:p w14:paraId="42388FD7"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105.1</w:t>
            </w:r>
          </w:p>
        </w:tc>
        <w:tc>
          <w:tcPr>
            <w:tcW w:w="1045" w:type="dxa"/>
            <w:tcBorders>
              <w:top w:val="single" w:sz="4" w:space="0" w:color="auto"/>
              <w:left w:val="single" w:sz="4" w:space="0" w:color="auto"/>
              <w:bottom w:val="single" w:sz="4" w:space="0" w:color="auto"/>
              <w:right w:val="single" w:sz="4" w:space="0" w:color="auto"/>
            </w:tcBorders>
            <w:vAlign w:val="center"/>
          </w:tcPr>
          <w:p w14:paraId="0EF2FDAE"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105.1</w:t>
            </w:r>
          </w:p>
        </w:tc>
        <w:tc>
          <w:tcPr>
            <w:tcW w:w="1043" w:type="dxa"/>
            <w:tcBorders>
              <w:top w:val="single" w:sz="4" w:space="0" w:color="auto"/>
              <w:left w:val="single" w:sz="4" w:space="0" w:color="auto"/>
              <w:bottom w:val="single" w:sz="4" w:space="0" w:color="auto"/>
              <w:right w:val="single" w:sz="4" w:space="0" w:color="auto"/>
            </w:tcBorders>
            <w:vAlign w:val="center"/>
          </w:tcPr>
          <w:p w14:paraId="1AFAB622"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100.7</w:t>
            </w:r>
          </w:p>
        </w:tc>
        <w:tc>
          <w:tcPr>
            <w:tcW w:w="1044" w:type="dxa"/>
            <w:tcBorders>
              <w:top w:val="single" w:sz="4" w:space="0" w:color="auto"/>
              <w:left w:val="single" w:sz="4" w:space="0" w:color="auto"/>
              <w:bottom w:val="single" w:sz="4" w:space="0" w:color="auto"/>
              <w:right w:val="single" w:sz="4" w:space="0" w:color="auto"/>
            </w:tcBorders>
            <w:vAlign w:val="center"/>
          </w:tcPr>
          <w:p w14:paraId="1F29F97D"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227.8</w:t>
            </w:r>
          </w:p>
        </w:tc>
        <w:tc>
          <w:tcPr>
            <w:tcW w:w="1043" w:type="dxa"/>
            <w:tcBorders>
              <w:top w:val="single" w:sz="4" w:space="0" w:color="auto"/>
              <w:left w:val="single" w:sz="4" w:space="0" w:color="auto"/>
              <w:bottom w:val="single" w:sz="4" w:space="0" w:color="auto"/>
              <w:right w:val="single" w:sz="4" w:space="0" w:color="auto"/>
            </w:tcBorders>
            <w:vAlign w:val="center"/>
          </w:tcPr>
          <w:p w14:paraId="285500A9"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170.8</w:t>
            </w:r>
          </w:p>
        </w:tc>
        <w:tc>
          <w:tcPr>
            <w:tcW w:w="1044" w:type="dxa"/>
            <w:tcBorders>
              <w:top w:val="single" w:sz="4" w:space="0" w:color="auto"/>
              <w:left w:val="single" w:sz="4" w:space="0" w:color="auto"/>
              <w:bottom w:val="single" w:sz="4" w:space="0" w:color="auto"/>
              <w:right w:val="double" w:sz="4" w:space="0" w:color="auto"/>
            </w:tcBorders>
            <w:vAlign w:val="center"/>
          </w:tcPr>
          <w:p w14:paraId="60071B79"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8.8</w:t>
            </w:r>
          </w:p>
        </w:tc>
      </w:tr>
      <w:tr w:rsidR="00E262E6" w:rsidRPr="006E6CAA" w14:paraId="5C92BE4D" w14:textId="77777777" w:rsidTr="002B6D6A">
        <w:trPr>
          <w:trHeight w:val="285"/>
          <w:jc w:val="center"/>
        </w:trPr>
        <w:tc>
          <w:tcPr>
            <w:tcW w:w="2902" w:type="dxa"/>
            <w:tcBorders>
              <w:top w:val="single" w:sz="4" w:space="0" w:color="auto"/>
              <w:left w:val="double" w:sz="4" w:space="0" w:color="auto"/>
              <w:bottom w:val="single" w:sz="4" w:space="0" w:color="auto"/>
              <w:right w:val="single" w:sz="4" w:space="0" w:color="auto"/>
            </w:tcBorders>
            <w:vAlign w:val="center"/>
            <w:hideMark/>
          </w:tcPr>
          <w:p w14:paraId="5C7054E5"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6E6CAA">
              <w:rPr>
                <w:sz w:val="22"/>
                <w:szCs w:val="22"/>
              </w:rPr>
              <w:t>Recovery Boiler C</w:t>
            </w:r>
          </w:p>
        </w:tc>
        <w:tc>
          <w:tcPr>
            <w:tcW w:w="1044" w:type="dxa"/>
            <w:tcBorders>
              <w:top w:val="single" w:sz="4" w:space="0" w:color="auto"/>
              <w:left w:val="single" w:sz="4" w:space="0" w:color="auto"/>
              <w:bottom w:val="single" w:sz="4" w:space="0" w:color="auto"/>
              <w:right w:val="single" w:sz="4" w:space="0" w:color="auto"/>
            </w:tcBorders>
            <w:vAlign w:val="center"/>
          </w:tcPr>
          <w:p w14:paraId="5C75BDB7"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379.7</w:t>
            </w:r>
          </w:p>
        </w:tc>
        <w:tc>
          <w:tcPr>
            <w:tcW w:w="1045" w:type="dxa"/>
            <w:tcBorders>
              <w:top w:val="single" w:sz="4" w:space="0" w:color="auto"/>
              <w:left w:val="single" w:sz="4" w:space="0" w:color="auto"/>
              <w:bottom w:val="single" w:sz="4" w:space="0" w:color="auto"/>
              <w:right w:val="single" w:sz="4" w:space="0" w:color="auto"/>
            </w:tcBorders>
            <w:vAlign w:val="center"/>
          </w:tcPr>
          <w:p w14:paraId="2BFBFE3B"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284.7</w:t>
            </w:r>
          </w:p>
        </w:tc>
        <w:tc>
          <w:tcPr>
            <w:tcW w:w="1043" w:type="dxa"/>
            <w:tcBorders>
              <w:top w:val="single" w:sz="4" w:space="0" w:color="auto"/>
              <w:left w:val="single" w:sz="4" w:space="0" w:color="auto"/>
              <w:bottom w:val="single" w:sz="4" w:space="0" w:color="auto"/>
              <w:right w:val="single" w:sz="4" w:space="0" w:color="auto"/>
            </w:tcBorders>
            <w:vAlign w:val="center"/>
          </w:tcPr>
          <w:p w14:paraId="7D54F4B9"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903.6</w:t>
            </w:r>
          </w:p>
        </w:tc>
        <w:tc>
          <w:tcPr>
            <w:tcW w:w="1044" w:type="dxa"/>
            <w:tcBorders>
              <w:top w:val="single" w:sz="4" w:space="0" w:color="auto"/>
              <w:left w:val="single" w:sz="4" w:space="0" w:color="auto"/>
              <w:bottom w:val="single" w:sz="4" w:space="0" w:color="auto"/>
              <w:right w:val="single" w:sz="4" w:space="0" w:color="auto"/>
            </w:tcBorders>
            <w:vAlign w:val="center"/>
          </w:tcPr>
          <w:p w14:paraId="3F3D4E80"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941.7</w:t>
            </w:r>
          </w:p>
        </w:tc>
        <w:tc>
          <w:tcPr>
            <w:tcW w:w="1043" w:type="dxa"/>
            <w:tcBorders>
              <w:top w:val="single" w:sz="4" w:space="0" w:color="auto"/>
              <w:left w:val="single" w:sz="4" w:space="0" w:color="auto"/>
              <w:bottom w:val="single" w:sz="4" w:space="0" w:color="auto"/>
              <w:right w:val="single" w:sz="4" w:space="0" w:color="auto"/>
            </w:tcBorders>
            <w:vAlign w:val="center"/>
          </w:tcPr>
          <w:p w14:paraId="2DF9508E"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972.4</w:t>
            </w:r>
          </w:p>
        </w:tc>
        <w:tc>
          <w:tcPr>
            <w:tcW w:w="1044" w:type="dxa"/>
            <w:tcBorders>
              <w:top w:val="single" w:sz="4" w:space="0" w:color="auto"/>
              <w:left w:val="single" w:sz="4" w:space="0" w:color="auto"/>
              <w:bottom w:val="single" w:sz="4" w:space="0" w:color="auto"/>
              <w:right w:val="double" w:sz="4" w:space="0" w:color="auto"/>
            </w:tcBorders>
            <w:vAlign w:val="center"/>
          </w:tcPr>
          <w:p w14:paraId="50941913"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16.2</w:t>
            </w:r>
          </w:p>
        </w:tc>
      </w:tr>
      <w:tr w:rsidR="00E262E6" w:rsidRPr="006E6CAA" w14:paraId="74379863" w14:textId="77777777" w:rsidTr="002B6D6A">
        <w:trPr>
          <w:trHeight w:val="285"/>
          <w:jc w:val="center"/>
        </w:trPr>
        <w:tc>
          <w:tcPr>
            <w:tcW w:w="2902" w:type="dxa"/>
            <w:tcBorders>
              <w:top w:val="single" w:sz="4" w:space="0" w:color="auto"/>
              <w:left w:val="double" w:sz="4" w:space="0" w:color="auto"/>
              <w:bottom w:val="single" w:sz="4" w:space="0" w:color="auto"/>
              <w:right w:val="single" w:sz="4" w:space="0" w:color="auto"/>
            </w:tcBorders>
            <w:vAlign w:val="center"/>
            <w:hideMark/>
          </w:tcPr>
          <w:p w14:paraId="049B65FF"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6E6CAA">
              <w:rPr>
                <w:sz w:val="22"/>
                <w:szCs w:val="22"/>
              </w:rPr>
              <w:t>Smelt Tank C</w:t>
            </w:r>
          </w:p>
        </w:tc>
        <w:tc>
          <w:tcPr>
            <w:tcW w:w="1044" w:type="dxa"/>
            <w:tcBorders>
              <w:top w:val="single" w:sz="4" w:space="0" w:color="auto"/>
              <w:left w:val="single" w:sz="4" w:space="0" w:color="auto"/>
              <w:bottom w:val="single" w:sz="4" w:space="0" w:color="auto"/>
              <w:right w:val="single" w:sz="4" w:space="0" w:color="auto"/>
            </w:tcBorders>
            <w:vAlign w:val="center"/>
          </w:tcPr>
          <w:p w14:paraId="58A488D4"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70.1</w:t>
            </w:r>
          </w:p>
        </w:tc>
        <w:tc>
          <w:tcPr>
            <w:tcW w:w="1045" w:type="dxa"/>
            <w:tcBorders>
              <w:top w:val="single" w:sz="4" w:space="0" w:color="auto"/>
              <w:left w:val="single" w:sz="4" w:space="0" w:color="auto"/>
              <w:bottom w:val="single" w:sz="4" w:space="0" w:color="auto"/>
              <w:right w:val="single" w:sz="4" w:space="0" w:color="auto"/>
            </w:tcBorders>
            <w:vAlign w:val="center"/>
          </w:tcPr>
          <w:p w14:paraId="3B2218C3"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69.2</w:t>
            </w:r>
          </w:p>
        </w:tc>
        <w:tc>
          <w:tcPr>
            <w:tcW w:w="1043" w:type="dxa"/>
            <w:tcBorders>
              <w:top w:val="single" w:sz="4" w:space="0" w:color="auto"/>
              <w:left w:val="single" w:sz="4" w:space="0" w:color="auto"/>
              <w:bottom w:val="single" w:sz="4" w:space="0" w:color="auto"/>
              <w:right w:val="single" w:sz="4" w:space="0" w:color="auto"/>
            </w:tcBorders>
            <w:vAlign w:val="center"/>
          </w:tcPr>
          <w:p w14:paraId="261CD253"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24.1</w:t>
            </w:r>
          </w:p>
        </w:tc>
        <w:tc>
          <w:tcPr>
            <w:tcW w:w="1044" w:type="dxa"/>
            <w:tcBorders>
              <w:top w:val="single" w:sz="4" w:space="0" w:color="auto"/>
              <w:left w:val="single" w:sz="4" w:space="0" w:color="auto"/>
              <w:bottom w:val="single" w:sz="4" w:space="0" w:color="auto"/>
              <w:right w:val="single" w:sz="4" w:space="0" w:color="auto"/>
            </w:tcBorders>
            <w:vAlign w:val="center"/>
          </w:tcPr>
          <w:p w14:paraId="3ABD79B1"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w:t>
            </w:r>
          </w:p>
        </w:tc>
        <w:tc>
          <w:tcPr>
            <w:tcW w:w="1043" w:type="dxa"/>
            <w:tcBorders>
              <w:top w:val="single" w:sz="4" w:space="0" w:color="auto"/>
              <w:left w:val="single" w:sz="4" w:space="0" w:color="auto"/>
              <w:bottom w:val="single" w:sz="4" w:space="0" w:color="auto"/>
              <w:right w:val="single" w:sz="4" w:space="0" w:color="auto"/>
            </w:tcBorders>
            <w:vAlign w:val="center"/>
          </w:tcPr>
          <w:p w14:paraId="11F25657"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w:t>
            </w:r>
          </w:p>
        </w:tc>
        <w:tc>
          <w:tcPr>
            <w:tcW w:w="1044" w:type="dxa"/>
            <w:tcBorders>
              <w:top w:val="single" w:sz="4" w:space="0" w:color="auto"/>
              <w:left w:val="single" w:sz="4" w:space="0" w:color="auto"/>
              <w:bottom w:val="single" w:sz="4" w:space="0" w:color="auto"/>
              <w:right w:val="double" w:sz="4" w:space="0" w:color="auto"/>
            </w:tcBorders>
            <w:vAlign w:val="center"/>
          </w:tcPr>
          <w:p w14:paraId="18E715AF" w14:textId="77777777" w:rsidR="00E262E6" w:rsidRPr="006E6CAA" w:rsidRDefault="00E262E6" w:rsidP="002B6D6A">
            <w:pPr>
              <w:tabs>
                <w:tab w:val="center" w:pos="3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w:t>
            </w:r>
          </w:p>
        </w:tc>
      </w:tr>
      <w:tr w:rsidR="00E262E6" w:rsidRPr="006E6CAA" w14:paraId="6E01ACCB" w14:textId="77777777" w:rsidTr="002B6D6A">
        <w:trPr>
          <w:trHeight w:val="285"/>
          <w:jc w:val="center"/>
        </w:trPr>
        <w:tc>
          <w:tcPr>
            <w:tcW w:w="2902" w:type="dxa"/>
            <w:tcBorders>
              <w:top w:val="single" w:sz="4" w:space="0" w:color="auto"/>
              <w:left w:val="double" w:sz="4" w:space="0" w:color="auto"/>
              <w:bottom w:val="single" w:sz="4" w:space="0" w:color="auto"/>
              <w:right w:val="single" w:sz="4" w:space="0" w:color="auto"/>
            </w:tcBorders>
            <w:vAlign w:val="center"/>
          </w:tcPr>
          <w:p w14:paraId="13DE088D"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Bleach Plant</w:t>
            </w:r>
          </w:p>
        </w:tc>
        <w:tc>
          <w:tcPr>
            <w:tcW w:w="1044" w:type="dxa"/>
            <w:tcBorders>
              <w:top w:val="single" w:sz="4" w:space="0" w:color="auto"/>
              <w:left w:val="single" w:sz="4" w:space="0" w:color="auto"/>
              <w:bottom w:val="single" w:sz="4" w:space="0" w:color="auto"/>
              <w:right w:val="single" w:sz="4" w:space="0" w:color="auto"/>
            </w:tcBorders>
            <w:vAlign w:val="center"/>
          </w:tcPr>
          <w:p w14:paraId="47FAC2FE"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color w:val="000000"/>
                <w:sz w:val="22"/>
                <w:szCs w:val="22"/>
              </w:rPr>
            </w:pPr>
            <w:r>
              <w:rPr>
                <w:color w:val="000000"/>
                <w:sz w:val="22"/>
                <w:szCs w:val="22"/>
              </w:rPr>
              <w:t>–</w:t>
            </w:r>
          </w:p>
        </w:tc>
        <w:tc>
          <w:tcPr>
            <w:tcW w:w="1045" w:type="dxa"/>
            <w:tcBorders>
              <w:top w:val="single" w:sz="4" w:space="0" w:color="auto"/>
              <w:left w:val="single" w:sz="4" w:space="0" w:color="auto"/>
              <w:bottom w:val="single" w:sz="4" w:space="0" w:color="auto"/>
              <w:right w:val="single" w:sz="4" w:space="0" w:color="auto"/>
            </w:tcBorders>
            <w:vAlign w:val="center"/>
          </w:tcPr>
          <w:p w14:paraId="7A1765D5"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color w:val="000000"/>
                <w:sz w:val="22"/>
                <w:szCs w:val="22"/>
              </w:rPr>
            </w:pPr>
            <w:r>
              <w:rPr>
                <w:color w:val="000000"/>
                <w:sz w:val="22"/>
                <w:szCs w:val="22"/>
              </w:rPr>
              <w:t>–</w:t>
            </w:r>
          </w:p>
        </w:tc>
        <w:tc>
          <w:tcPr>
            <w:tcW w:w="1043" w:type="dxa"/>
            <w:tcBorders>
              <w:top w:val="single" w:sz="4" w:space="0" w:color="auto"/>
              <w:left w:val="single" w:sz="4" w:space="0" w:color="auto"/>
              <w:bottom w:val="single" w:sz="4" w:space="0" w:color="auto"/>
              <w:right w:val="single" w:sz="4" w:space="0" w:color="auto"/>
            </w:tcBorders>
            <w:vAlign w:val="center"/>
          </w:tcPr>
          <w:p w14:paraId="6EAA9B3B"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color w:val="000000"/>
                <w:sz w:val="22"/>
                <w:szCs w:val="22"/>
              </w:rPr>
            </w:pPr>
            <w:r>
              <w:rPr>
                <w:color w:val="000000"/>
                <w:sz w:val="22"/>
                <w:szCs w:val="22"/>
              </w:rPr>
              <w:t>–</w:t>
            </w:r>
          </w:p>
        </w:tc>
        <w:tc>
          <w:tcPr>
            <w:tcW w:w="1044" w:type="dxa"/>
            <w:tcBorders>
              <w:top w:val="single" w:sz="4" w:space="0" w:color="auto"/>
              <w:left w:val="single" w:sz="4" w:space="0" w:color="auto"/>
              <w:bottom w:val="single" w:sz="4" w:space="0" w:color="auto"/>
              <w:right w:val="single" w:sz="4" w:space="0" w:color="auto"/>
            </w:tcBorders>
            <w:vAlign w:val="center"/>
          </w:tcPr>
          <w:p w14:paraId="22121435"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color w:val="000000"/>
                <w:sz w:val="22"/>
                <w:szCs w:val="22"/>
              </w:rPr>
            </w:pPr>
            <w:r>
              <w:rPr>
                <w:color w:val="000000"/>
                <w:sz w:val="22"/>
                <w:szCs w:val="22"/>
              </w:rPr>
              <w:t>–</w:t>
            </w:r>
          </w:p>
        </w:tc>
        <w:tc>
          <w:tcPr>
            <w:tcW w:w="1043" w:type="dxa"/>
            <w:tcBorders>
              <w:top w:val="single" w:sz="4" w:space="0" w:color="auto"/>
              <w:left w:val="single" w:sz="4" w:space="0" w:color="auto"/>
              <w:bottom w:val="single" w:sz="4" w:space="0" w:color="auto"/>
              <w:right w:val="single" w:sz="4" w:space="0" w:color="auto"/>
            </w:tcBorders>
            <w:vAlign w:val="center"/>
          </w:tcPr>
          <w:p w14:paraId="2A9DECC7"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color w:val="000000"/>
                <w:sz w:val="22"/>
                <w:szCs w:val="22"/>
              </w:rPr>
            </w:pPr>
            <w:r>
              <w:rPr>
                <w:color w:val="000000"/>
                <w:sz w:val="22"/>
                <w:szCs w:val="22"/>
              </w:rPr>
              <w:t>–</w:t>
            </w:r>
          </w:p>
        </w:tc>
        <w:tc>
          <w:tcPr>
            <w:tcW w:w="1044" w:type="dxa"/>
            <w:tcBorders>
              <w:top w:val="single" w:sz="4" w:space="0" w:color="auto"/>
              <w:left w:val="single" w:sz="4" w:space="0" w:color="auto"/>
              <w:bottom w:val="single" w:sz="4" w:space="0" w:color="auto"/>
              <w:right w:val="double" w:sz="4" w:space="0" w:color="auto"/>
            </w:tcBorders>
            <w:vAlign w:val="center"/>
          </w:tcPr>
          <w:p w14:paraId="079158A0"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color w:val="000000"/>
                <w:sz w:val="22"/>
                <w:szCs w:val="22"/>
              </w:rPr>
            </w:pPr>
            <w:r>
              <w:rPr>
                <w:color w:val="000000"/>
                <w:sz w:val="22"/>
                <w:szCs w:val="22"/>
              </w:rPr>
              <w:t>27.8</w:t>
            </w:r>
          </w:p>
        </w:tc>
      </w:tr>
      <w:tr w:rsidR="00E262E6" w:rsidRPr="006E6CAA" w14:paraId="5257872D" w14:textId="77777777" w:rsidTr="002B6D6A">
        <w:trPr>
          <w:trHeight w:val="285"/>
          <w:jc w:val="center"/>
        </w:trPr>
        <w:tc>
          <w:tcPr>
            <w:tcW w:w="2902" w:type="dxa"/>
            <w:tcBorders>
              <w:top w:val="single" w:sz="4" w:space="0" w:color="auto"/>
              <w:left w:val="double" w:sz="4" w:space="0" w:color="auto"/>
              <w:bottom w:val="single" w:sz="4" w:space="0" w:color="auto"/>
              <w:right w:val="single" w:sz="4" w:space="0" w:color="auto"/>
            </w:tcBorders>
            <w:vAlign w:val="center"/>
          </w:tcPr>
          <w:p w14:paraId="514ECA33"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6E6CAA">
              <w:rPr>
                <w:sz w:val="22"/>
                <w:szCs w:val="22"/>
              </w:rPr>
              <w:t>Paper Machines &amp; Pulp Dryer (combined)</w:t>
            </w:r>
          </w:p>
        </w:tc>
        <w:tc>
          <w:tcPr>
            <w:tcW w:w="1044" w:type="dxa"/>
            <w:tcBorders>
              <w:top w:val="single" w:sz="4" w:space="0" w:color="auto"/>
              <w:left w:val="single" w:sz="4" w:space="0" w:color="auto"/>
              <w:bottom w:val="single" w:sz="4" w:space="0" w:color="auto"/>
              <w:right w:val="single" w:sz="4" w:space="0" w:color="auto"/>
            </w:tcBorders>
            <w:vAlign w:val="center"/>
          </w:tcPr>
          <w:p w14:paraId="56AFFA71"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15.0</w:t>
            </w:r>
          </w:p>
        </w:tc>
        <w:tc>
          <w:tcPr>
            <w:tcW w:w="1045" w:type="dxa"/>
            <w:tcBorders>
              <w:top w:val="single" w:sz="4" w:space="0" w:color="auto"/>
              <w:left w:val="single" w:sz="4" w:space="0" w:color="auto"/>
              <w:bottom w:val="single" w:sz="4" w:space="0" w:color="auto"/>
              <w:right w:val="single" w:sz="4" w:space="0" w:color="auto"/>
            </w:tcBorders>
            <w:vAlign w:val="center"/>
          </w:tcPr>
          <w:p w14:paraId="38279AD1"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33.7</w:t>
            </w:r>
          </w:p>
        </w:tc>
        <w:tc>
          <w:tcPr>
            <w:tcW w:w="1043" w:type="dxa"/>
            <w:tcBorders>
              <w:top w:val="single" w:sz="4" w:space="0" w:color="auto"/>
              <w:left w:val="single" w:sz="4" w:space="0" w:color="auto"/>
              <w:bottom w:val="single" w:sz="4" w:space="0" w:color="auto"/>
              <w:right w:val="single" w:sz="4" w:space="0" w:color="auto"/>
            </w:tcBorders>
            <w:vAlign w:val="center"/>
          </w:tcPr>
          <w:p w14:paraId="626B0EA1"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w:t>
            </w:r>
          </w:p>
        </w:tc>
        <w:tc>
          <w:tcPr>
            <w:tcW w:w="1044" w:type="dxa"/>
            <w:tcBorders>
              <w:top w:val="single" w:sz="4" w:space="0" w:color="auto"/>
              <w:left w:val="single" w:sz="4" w:space="0" w:color="auto"/>
              <w:bottom w:val="single" w:sz="4" w:space="0" w:color="auto"/>
              <w:right w:val="single" w:sz="4" w:space="0" w:color="auto"/>
            </w:tcBorders>
            <w:vAlign w:val="center"/>
          </w:tcPr>
          <w:p w14:paraId="401D1400"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w:t>
            </w:r>
          </w:p>
        </w:tc>
        <w:tc>
          <w:tcPr>
            <w:tcW w:w="1043" w:type="dxa"/>
            <w:tcBorders>
              <w:top w:val="single" w:sz="4" w:space="0" w:color="auto"/>
              <w:left w:val="single" w:sz="4" w:space="0" w:color="auto"/>
              <w:bottom w:val="single" w:sz="4" w:space="0" w:color="auto"/>
              <w:right w:val="single" w:sz="4" w:space="0" w:color="auto"/>
            </w:tcBorders>
            <w:vAlign w:val="center"/>
          </w:tcPr>
          <w:p w14:paraId="369511DA"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w:t>
            </w:r>
          </w:p>
        </w:tc>
        <w:tc>
          <w:tcPr>
            <w:tcW w:w="1044" w:type="dxa"/>
            <w:tcBorders>
              <w:top w:val="single" w:sz="4" w:space="0" w:color="auto"/>
              <w:left w:val="single" w:sz="4" w:space="0" w:color="auto"/>
              <w:bottom w:val="single" w:sz="4" w:space="0" w:color="auto"/>
              <w:right w:val="double" w:sz="4" w:space="0" w:color="auto"/>
            </w:tcBorders>
            <w:vAlign w:val="center"/>
          </w:tcPr>
          <w:p w14:paraId="0FDAA779"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color w:val="000000"/>
                <w:sz w:val="22"/>
                <w:szCs w:val="22"/>
              </w:rPr>
              <w:t>197</w:t>
            </w:r>
            <w:r w:rsidRPr="006E6CAA">
              <w:rPr>
                <w:color w:val="000000"/>
                <w:sz w:val="22"/>
                <w:szCs w:val="22"/>
              </w:rPr>
              <w:t>.0</w:t>
            </w:r>
          </w:p>
        </w:tc>
      </w:tr>
      <w:tr w:rsidR="00E262E6" w:rsidRPr="006E6CAA" w14:paraId="26924253" w14:textId="77777777" w:rsidTr="002B6D6A">
        <w:trPr>
          <w:trHeight w:val="285"/>
          <w:jc w:val="center"/>
        </w:trPr>
        <w:tc>
          <w:tcPr>
            <w:tcW w:w="2902" w:type="dxa"/>
            <w:tcBorders>
              <w:top w:val="single" w:sz="4" w:space="0" w:color="auto"/>
              <w:left w:val="double" w:sz="4" w:space="0" w:color="auto"/>
              <w:bottom w:val="single" w:sz="4" w:space="0" w:color="auto"/>
              <w:right w:val="single" w:sz="4" w:space="0" w:color="auto"/>
            </w:tcBorders>
            <w:vAlign w:val="center"/>
            <w:hideMark/>
          </w:tcPr>
          <w:p w14:paraId="02E9A85C"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6E6CAA">
              <w:rPr>
                <w:sz w:val="22"/>
                <w:szCs w:val="22"/>
              </w:rPr>
              <w:t>R10 Dryers</w:t>
            </w:r>
          </w:p>
        </w:tc>
        <w:tc>
          <w:tcPr>
            <w:tcW w:w="1044" w:type="dxa"/>
            <w:tcBorders>
              <w:top w:val="single" w:sz="4" w:space="0" w:color="auto"/>
              <w:left w:val="single" w:sz="4" w:space="0" w:color="auto"/>
              <w:bottom w:val="single" w:sz="4" w:space="0" w:color="auto"/>
              <w:right w:val="single" w:sz="4" w:space="0" w:color="auto"/>
            </w:tcBorders>
            <w:vAlign w:val="center"/>
          </w:tcPr>
          <w:p w14:paraId="58EC912F"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color w:val="000000"/>
                <w:sz w:val="22"/>
                <w:szCs w:val="22"/>
              </w:rPr>
              <w:t>15.2</w:t>
            </w:r>
          </w:p>
        </w:tc>
        <w:tc>
          <w:tcPr>
            <w:tcW w:w="1045" w:type="dxa"/>
            <w:tcBorders>
              <w:top w:val="single" w:sz="4" w:space="0" w:color="auto"/>
              <w:left w:val="single" w:sz="4" w:space="0" w:color="auto"/>
              <w:bottom w:val="single" w:sz="4" w:space="0" w:color="auto"/>
              <w:right w:val="single" w:sz="4" w:space="0" w:color="auto"/>
            </w:tcBorders>
            <w:vAlign w:val="center"/>
          </w:tcPr>
          <w:p w14:paraId="068AA806"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color w:val="000000"/>
                <w:sz w:val="22"/>
                <w:szCs w:val="22"/>
              </w:rPr>
              <w:t>15.2</w:t>
            </w:r>
          </w:p>
        </w:tc>
        <w:tc>
          <w:tcPr>
            <w:tcW w:w="1043" w:type="dxa"/>
            <w:tcBorders>
              <w:top w:val="single" w:sz="4" w:space="0" w:color="auto"/>
              <w:left w:val="single" w:sz="4" w:space="0" w:color="auto"/>
              <w:bottom w:val="single" w:sz="4" w:space="0" w:color="auto"/>
              <w:right w:val="single" w:sz="4" w:space="0" w:color="auto"/>
            </w:tcBorders>
            <w:vAlign w:val="center"/>
          </w:tcPr>
          <w:p w14:paraId="105CA089"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c>
          <w:tcPr>
            <w:tcW w:w="1044" w:type="dxa"/>
            <w:tcBorders>
              <w:top w:val="single" w:sz="4" w:space="0" w:color="auto"/>
              <w:left w:val="single" w:sz="4" w:space="0" w:color="auto"/>
              <w:bottom w:val="single" w:sz="4" w:space="0" w:color="auto"/>
              <w:right w:val="single" w:sz="4" w:space="0" w:color="auto"/>
            </w:tcBorders>
            <w:vAlign w:val="center"/>
          </w:tcPr>
          <w:p w14:paraId="4C875DA4"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color w:val="000000"/>
                <w:sz w:val="22"/>
                <w:szCs w:val="22"/>
              </w:rPr>
              <w:t>19.6</w:t>
            </w:r>
          </w:p>
        </w:tc>
        <w:tc>
          <w:tcPr>
            <w:tcW w:w="1043" w:type="dxa"/>
            <w:tcBorders>
              <w:top w:val="single" w:sz="4" w:space="0" w:color="auto"/>
              <w:left w:val="single" w:sz="4" w:space="0" w:color="auto"/>
              <w:bottom w:val="single" w:sz="4" w:space="0" w:color="auto"/>
              <w:right w:val="single" w:sz="4" w:space="0" w:color="auto"/>
            </w:tcBorders>
            <w:vAlign w:val="center"/>
          </w:tcPr>
          <w:p w14:paraId="00204D6D"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color w:val="000000"/>
                <w:sz w:val="22"/>
                <w:szCs w:val="22"/>
              </w:rPr>
              <w:t>2.7</w:t>
            </w:r>
          </w:p>
        </w:tc>
        <w:tc>
          <w:tcPr>
            <w:tcW w:w="1044" w:type="dxa"/>
            <w:tcBorders>
              <w:top w:val="single" w:sz="4" w:space="0" w:color="auto"/>
              <w:left w:val="single" w:sz="4" w:space="0" w:color="auto"/>
              <w:bottom w:val="single" w:sz="4" w:space="0" w:color="auto"/>
              <w:right w:val="double" w:sz="4" w:space="0" w:color="auto"/>
            </w:tcBorders>
            <w:vAlign w:val="center"/>
          </w:tcPr>
          <w:p w14:paraId="7246F0D6"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color w:val="000000"/>
                <w:sz w:val="22"/>
                <w:szCs w:val="22"/>
              </w:rPr>
              <w:t>0.7</w:t>
            </w:r>
          </w:p>
        </w:tc>
      </w:tr>
      <w:tr w:rsidR="00E262E6" w:rsidRPr="006E6CAA" w14:paraId="06A505BD" w14:textId="77777777" w:rsidTr="002B6D6A">
        <w:trPr>
          <w:trHeight w:val="285"/>
          <w:jc w:val="center"/>
        </w:trPr>
        <w:tc>
          <w:tcPr>
            <w:tcW w:w="2902" w:type="dxa"/>
            <w:tcBorders>
              <w:top w:val="single" w:sz="4" w:space="0" w:color="auto"/>
              <w:left w:val="double" w:sz="4" w:space="0" w:color="auto"/>
              <w:bottom w:val="single" w:sz="4" w:space="0" w:color="auto"/>
              <w:right w:val="single" w:sz="4" w:space="0" w:color="auto"/>
            </w:tcBorders>
            <w:vAlign w:val="center"/>
            <w:hideMark/>
          </w:tcPr>
          <w:p w14:paraId="54072053"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6E6CAA">
              <w:rPr>
                <w:sz w:val="22"/>
                <w:szCs w:val="22"/>
              </w:rPr>
              <w:t>Building Air Heaters</w:t>
            </w:r>
          </w:p>
        </w:tc>
        <w:tc>
          <w:tcPr>
            <w:tcW w:w="1044" w:type="dxa"/>
            <w:tcBorders>
              <w:top w:val="single" w:sz="4" w:space="0" w:color="auto"/>
              <w:left w:val="single" w:sz="4" w:space="0" w:color="auto"/>
              <w:bottom w:val="single" w:sz="4" w:space="0" w:color="auto"/>
              <w:right w:val="single" w:sz="4" w:space="0" w:color="auto"/>
            </w:tcBorders>
            <w:vAlign w:val="center"/>
          </w:tcPr>
          <w:p w14:paraId="306FF681"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2</w:t>
            </w:r>
          </w:p>
        </w:tc>
        <w:tc>
          <w:tcPr>
            <w:tcW w:w="1045" w:type="dxa"/>
            <w:tcBorders>
              <w:top w:val="single" w:sz="4" w:space="0" w:color="auto"/>
              <w:left w:val="single" w:sz="4" w:space="0" w:color="auto"/>
              <w:bottom w:val="single" w:sz="4" w:space="0" w:color="auto"/>
              <w:right w:val="single" w:sz="4" w:space="0" w:color="auto"/>
            </w:tcBorders>
            <w:vAlign w:val="center"/>
          </w:tcPr>
          <w:p w14:paraId="52509159"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2</w:t>
            </w:r>
          </w:p>
        </w:tc>
        <w:tc>
          <w:tcPr>
            <w:tcW w:w="1043" w:type="dxa"/>
            <w:tcBorders>
              <w:top w:val="single" w:sz="4" w:space="0" w:color="auto"/>
              <w:left w:val="single" w:sz="4" w:space="0" w:color="auto"/>
              <w:bottom w:val="single" w:sz="4" w:space="0" w:color="auto"/>
              <w:right w:val="single" w:sz="4" w:space="0" w:color="auto"/>
            </w:tcBorders>
            <w:vAlign w:val="center"/>
          </w:tcPr>
          <w:p w14:paraId="77E4DF0B"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0.2</w:t>
            </w:r>
          </w:p>
        </w:tc>
        <w:tc>
          <w:tcPr>
            <w:tcW w:w="1044" w:type="dxa"/>
            <w:tcBorders>
              <w:top w:val="single" w:sz="4" w:space="0" w:color="auto"/>
              <w:left w:val="single" w:sz="4" w:space="0" w:color="auto"/>
              <w:bottom w:val="single" w:sz="4" w:space="0" w:color="auto"/>
              <w:right w:val="single" w:sz="4" w:space="0" w:color="auto"/>
            </w:tcBorders>
            <w:vAlign w:val="center"/>
          </w:tcPr>
          <w:p w14:paraId="224D8F6D"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40.6</w:t>
            </w:r>
          </w:p>
        </w:tc>
        <w:tc>
          <w:tcPr>
            <w:tcW w:w="1043" w:type="dxa"/>
            <w:tcBorders>
              <w:top w:val="single" w:sz="4" w:space="0" w:color="auto"/>
              <w:left w:val="single" w:sz="4" w:space="0" w:color="auto"/>
              <w:bottom w:val="single" w:sz="4" w:space="0" w:color="auto"/>
              <w:right w:val="single" w:sz="4" w:space="0" w:color="auto"/>
            </w:tcBorders>
            <w:vAlign w:val="center"/>
          </w:tcPr>
          <w:p w14:paraId="148407C4"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40.6</w:t>
            </w:r>
          </w:p>
        </w:tc>
        <w:tc>
          <w:tcPr>
            <w:tcW w:w="1044" w:type="dxa"/>
            <w:tcBorders>
              <w:top w:val="single" w:sz="4" w:space="0" w:color="auto"/>
              <w:left w:val="single" w:sz="4" w:space="0" w:color="auto"/>
              <w:bottom w:val="single" w:sz="4" w:space="0" w:color="auto"/>
              <w:right w:val="double" w:sz="4" w:space="0" w:color="auto"/>
            </w:tcBorders>
            <w:vAlign w:val="center"/>
          </w:tcPr>
          <w:p w14:paraId="282AA267"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2.2</w:t>
            </w:r>
          </w:p>
        </w:tc>
      </w:tr>
      <w:tr w:rsidR="00E262E6" w:rsidRPr="006E6CAA" w14:paraId="329DF4BD" w14:textId="77777777" w:rsidTr="002B6D6A">
        <w:trPr>
          <w:trHeight w:val="285"/>
          <w:jc w:val="center"/>
        </w:trPr>
        <w:tc>
          <w:tcPr>
            <w:tcW w:w="2902" w:type="dxa"/>
            <w:tcBorders>
              <w:top w:val="single" w:sz="4" w:space="0" w:color="auto"/>
              <w:left w:val="double" w:sz="4" w:space="0" w:color="auto"/>
              <w:bottom w:val="single" w:sz="4" w:space="0" w:color="auto"/>
              <w:right w:val="single" w:sz="4" w:space="0" w:color="auto"/>
            </w:tcBorders>
            <w:vAlign w:val="center"/>
            <w:hideMark/>
          </w:tcPr>
          <w:p w14:paraId="03D9DF9B"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6E6CAA">
              <w:rPr>
                <w:sz w:val="22"/>
                <w:szCs w:val="22"/>
              </w:rPr>
              <w:t>Cogen Emergency Generator</w:t>
            </w:r>
          </w:p>
        </w:tc>
        <w:tc>
          <w:tcPr>
            <w:tcW w:w="1044" w:type="dxa"/>
            <w:tcBorders>
              <w:top w:val="single" w:sz="4" w:space="0" w:color="auto"/>
              <w:left w:val="single" w:sz="4" w:space="0" w:color="auto"/>
              <w:bottom w:val="single" w:sz="4" w:space="0" w:color="auto"/>
              <w:right w:val="single" w:sz="4" w:space="0" w:color="auto"/>
            </w:tcBorders>
            <w:vAlign w:val="center"/>
          </w:tcPr>
          <w:p w14:paraId="5863FCC6"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c>
          <w:tcPr>
            <w:tcW w:w="1045" w:type="dxa"/>
            <w:tcBorders>
              <w:top w:val="single" w:sz="4" w:space="0" w:color="auto"/>
              <w:left w:val="single" w:sz="4" w:space="0" w:color="auto"/>
              <w:bottom w:val="single" w:sz="4" w:space="0" w:color="auto"/>
              <w:right w:val="single" w:sz="4" w:space="0" w:color="auto"/>
            </w:tcBorders>
            <w:vAlign w:val="center"/>
          </w:tcPr>
          <w:p w14:paraId="0EE50C01"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c>
          <w:tcPr>
            <w:tcW w:w="1043" w:type="dxa"/>
            <w:tcBorders>
              <w:top w:val="single" w:sz="4" w:space="0" w:color="auto"/>
              <w:left w:val="single" w:sz="4" w:space="0" w:color="auto"/>
              <w:bottom w:val="single" w:sz="4" w:space="0" w:color="auto"/>
              <w:right w:val="single" w:sz="4" w:space="0" w:color="auto"/>
            </w:tcBorders>
            <w:vAlign w:val="center"/>
          </w:tcPr>
          <w:p w14:paraId="040A2E33"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c>
          <w:tcPr>
            <w:tcW w:w="1044" w:type="dxa"/>
            <w:tcBorders>
              <w:top w:val="single" w:sz="4" w:space="0" w:color="auto"/>
              <w:left w:val="single" w:sz="4" w:space="0" w:color="auto"/>
              <w:bottom w:val="single" w:sz="4" w:space="0" w:color="auto"/>
              <w:right w:val="single" w:sz="4" w:space="0" w:color="auto"/>
            </w:tcBorders>
            <w:vAlign w:val="center"/>
          </w:tcPr>
          <w:p w14:paraId="159B17F9"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1.6</w:t>
            </w:r>
          </w:p>
        </w:tc>
        <w:tc>
          <w:tcPr>
            <w:tcW w:w="1043" w:type="dxa"/>
            <w:tcBorders>
              <w:top w:val="single" w:sz="4" w:space="0" w:color="auto"/>
              <w:left w:val="single" w:sz="4" w:space="0" w:color="auto"/>
              <w:bottom w:val="single" w:sz="4" w:space="0" w:color="auto"/>
              <w:right w:val="single" w:sz="4" w:space="0" w:color="auto"/>
            </w:tcBorders>
            <w:vAlign w:val="center"/>
          </w:tcPr>
          <w:p w14:paraId="79F35CD5"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0.4</w:t>
            </w:r>
          </w:p>
        </w:tc>
        <w:tc>
          <w:tcPr>
            <w:tcW w:w="1044" w:type="dxa"/>
            <w:tcBorders>
              <w:top w:val="single" w:sz="4" w:space="0" w:color="auto"/>
              <w:left w:val="single" w:sz="4" w:space="0" w:color="auto"/>
              <w:bottom w:val="single" w:sz="4" w:space="0" w:color="auto"/>
              <w:right w:val="double" w:sz="4" w:space="0" w:color="auto"/>
            </w:tcBorders>
            <w:vAlign w:val="center"/>
          </w:tcPr>
          <w:p w14:paraId="083D4C1F"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r>
      <w:tr w:rsidR="00E262E6" w:rsidRPr="006E6CAA" w14:paraId="51A0216F" w14:textId="77777777" w:rsidTr="002B6D6A">
        <w:trPr>
          <w:trHeight w:val="285"/>
          <w:jc w:val="center"/>
        </w:trPr>
        <w:tc>
          <w:tcPr>
            <w:tcW w:w="2902" w:type="dxa"/>
            <w:tcBorders>
              <w:top w:val="single" w:sz="4" w:space="0" w:color="auto"/>
              <w:left w:val="double" w:sz="4" w:space="0" w:color="auto"/>
              <w:bottom w:val="single" w:sz="4" w:space="0" w:color="auto"/>
              <w:right w:val="single" w:sz="4" w:space="0" w:color="auto"/>
            </w:tcBorders>
            <w:vAlign w:val="center"/>
            <w:hideMark/>
          </w:tcPr>
          <w:p w14:paraId="70C2C854"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6E6CAA">
              <w:rPr>
                <w:sz w:val="22"/>
                <w:szCs w:val="22"/>
              </w:rPr>
              <w:t>R15 Emergency Generator</w:t>
            </w:r>
          </w:p>
        </w:tc>
        <w:tc>
          <w:tcPr>
            <w:tcW w:w="1044" w:type="dxa"/>
            <w:tcBorders>
              <w:top w:val="single" w:sz="4" w:space="0" w:color="auto"/>
              <w:left w:val="single" w:sz="4" w:space="0" w:color="auto"/>
              <w:bottom w:val="single" w:sz="4" w:space="0" w:color="auto"/>
              <w:right w:val="single" w:sz="4" w:space="0" w:color="auto"/>
            </w:tcBorders>
            <w:vAlign w:val="center"/>
          </w:tcPr>
          <w:p w14:paraId="7B8C3E44"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c>
          <w:tcPr>
            <w:tcW w:w="1045" w:type="dxa"/>
            <w:tcBorders>
              <w:top w:val="single" w:sz="4" w:space="0" w:color="auto"/>
              <w:left w:val="single" w:sz="4" w:space="0" w:color="auto"/>
              <w:bottom w:val="single" w:sz="4" w:space="0" w:color="auto"/>
              <w:right w:val="single" w:sz="4" w:space="0" w:color="auto"/>
            </w:tcBorders>
            <w:vAlign w:val="center"/>
          </w:tcPr>
          <w:p w14:paraId="4E3DAB5E"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c>
          <w:tcPr>
            <w:tcW w:w="1043" w:type="dxa"/>
            <w:tcBorders>
              <w:top w:val="single" w:sz="4" w:space="0" w:color="auto"/>
              <w:left w:val="single" w:sz="4" w:space="0" w:color="auto"/>
              <w:bottom w:val="single" w:sz="4" w:space="0" w:color="auto"/>
              <w:right w:val="single" w:sz="4" w:space="0" w:color="auto"/>
            </w:tcBorders>
            <w:vAlign w:val="center"/>
          </w:tcPr>
          <w:p w14:paraId="2EE407F2"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c>
          <w:tcPr>
            <w:tcW w:w="1044" w:type="dxa"/>
            <w:tcBorders>
              <w:top w:val="single" w:sz="4" w:space="0" w:color="auto"/>
              <w:left w:val="single" w:sz="4" w:space="0" w:color="auto"/>
              <w:bottom w:val="single" w:sz="4" w:space="0" w:color="auto"/>
              <w:right w:val="single" w:sz="4" w:space="0" w:color="auto"/>
            </w:tcBorders>
            <w:vAlign w:val="center"/>
          </w:tcPr>
          <w:p w14:paraId="7D119DBC"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1.4</w:t>
            </w:r>
          </w:p>
        </w:tc>
        <w:tc>
          <w:tcPr>
            <w:tcW w:w="1043" w:type="dxa"/>
            <w:tcBorders>
              <w:top w:val="single" w:sz="4" w:space="0" w:color="auto"/>
              <w:left w:val="single" w:sz="4" w:space="0" w:color="auto"/>
              <w:bottom w:val="single" w:sz="4" w:space="0" w:color="auto"/>
              <w:right w:val="single" w:sz="4" w:space="0" w:color="auto"/>
            </w:tcBorders>
            <w:vAlign w:val="center"/>
          </w:tcPr>
          <w:p w14:paraId="27DD38CC"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0.3</w:t>
            </w:r>
          </w:p>
        </w:tc>
        <w:tc>
          <w:tcPr>
            <w:tcW w:w="1044" w:type="dxa"/>
            <w:tcBorders>
              <w:top w:val="single" w:sz="4" w:space="0" w:color="auto"/>
              <w:left w:val="single" w:sz="4" w:space="0" w:color="auto"/>
              <w:bottom w:val="single" w:sz="4" w:space="0" w:color="auto"/>
              <w:right w:val="double" w:sz="4" w:space="0" w:color="auto"/>
            </w:tcBorders>
            <w:vAlign w:val="center"/>
          </w:tcPr>
          <w:p w14:paraId="6CD8BB8E"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r>
      <w:tr w:rsidR="00E262E6" w:rsidRPr="006E6CAA" w14:paraId="6AF52EED" w14:textId="77777777" w:rsidTr="002B6D6A">
        <w:trPr>
          <w:trHeight w:val="285"/>
          <w:jc w:val="center"/>
        </w:trPr>
        <w:tc>
          <w:tcPr>
            <w:tcW w:w="2902" w:type="dxa"/>
            <w:tcBorders>
              <w:top w:val="single" w:sz="4" w:space="0" w:color="auto"/>
              <w:left w:val="double" w:sz="4" w:space="0" w:color="auto"/>
              <w:bottom w:val="single" w:sz="4" w:space="0" w:color="auto"/>
              <w:right w:val="single" w:sz="4" w:space="0" w:color="auto"/>
            </w:tcBorders>
            <w:vAlign w:val="center"/>
            <w:hideMark/>
          </w:tcPr>
          <w:p w14:paraId="072F7A11"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6E6CAA">
              <w:rPr>
                <w:sz w:val="22"/>
                <w:szCs w:val="22"/>
              </w:rPr>
              <w:t>Mill Emergency Diesel Generator</w:t>
            </w:r>
          </w:p>
        </w:tc>
        <w:tc>
          <w:tcPr>
            <w:tcW w:w="1044" w:type="dxa"/>
            <w:tcBorders>
              <w:top w:val="single" w:sz="4" w:space="0" w:color="auto"/>
              <w:left w:val="single" w:sz="4" w:space="0" w:color="auto"/>
              <w:bottom w:val="single" w:sz="4" w:space="0" w:color="auto"/>
              <w:right w:val="single" w:sz="4" w:space="0" w:color="auto"/>
            </w:tcBorders>
            <w:vAlign w:val="center"/>
          </w:tcPr>
          <w:p w14:paraId="436A9061"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0.2</w:t>
            </w:r>
          </w:p>
        </w:tc>
        <w:tc>
          <w:tcPr>
            <w:tcW w:w="1045" w:type="dxa"/>
            <w:tcBorders>
              <w:top w:val="single" w:sz="4" w:space="0" w:color="auto"/>
              <w:left w:val="single" w:sz="4" w:space="0" w:color="auto"/>
              <w:bottom w:val="single" w:sz="4" w:space="0" w:color="auto"/>
              <w:right w:val="single" w:sz="4" w:space="0" w:color="auto"/>
            </w:tcBorders>
            <w:vAlign w:val="center"/>
          </w:tcPr>
          <w:p w14:paraId="6A31A789"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0.2</w:t>
            </w:r>
          </w:p>
        </w:tc>
        <w:tc>
          <w:tcPr>
            <w:tcW w:w="1043" w:type="dxa"/>
            <w:tcBorders>
              <w:top w:val="single" w:sz="4" w:space="0" w:color="auto"/>
              <w:left w:val="single" w:sz="4" w:space="0" w:color="auto"/>
              <w:bottom w:val="single" w:sz="4" w:space="0" w:color="auto"/>
              <w:right w:val="single" w:sz="4" w:space="0" w:color="auto"/>
            </w:tcBorders>
            <w:vAlign w:val="center"/>
          </w:tcPr>
          <w:p w14:paraId="0DF52BDB"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c>
          <w:tcPr>
            <w:tcW w:w="1044" w:type="dxa"/>
            <w:tcBorders>
              <w:top w:val="single" w:sz="4" w:space="0" w:color="auto"/>
              <w:left w:val="single" w:sz="4" w:space="0" w:color="auto"/>
              <w:bottom w:val="single" w:sz="4" w:space="0" w:color="auto"/>
              <w:right w:val="single" w:sz="4" w:space="0" w:color="auto"/>
            </w:tcBorders>
            <w:vAlign w:val="center"/>
          </w:tcPr>
          <w:p w14:paraId="11A0386B"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4.4</w:t>
            </w:r>
          </w:p>
        </w:tc>
        <w:tc>
          <w:tcPr>
            <w:tcW w:w="1043" w:type="dxa"/>
            <w:tcBorders>
              <w:top w:val="single" w:sz="4" w:space="0" w:color="auto"/>
              <w:left w:val="single" w:sz="4" w:space="0" w:color="auto"/>
              <w:bottom w:val="single" w:sz="4" w:space="0" w:color="auto"/>
              <w:right w:val="single" w:sz="4" w:space="0" w:color="auto"/>
            </w:tcBorders>
            <w:vAlign w:val="center"/>
          </w:tcPr>
          <w:p w14:paraId="4AA11BC4"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1.2</w:t>
            </w:r>
          </w:p>
        </w:tc>
        <w:tc>
          <w:tcPr>
            <w:tcW w:w="1044" w:type="dxa"/>
            <w:tcBorders>
              <w:top w:val="single" w:sz="4" w:space="0" w:color="auto"/>
              <w:left w:val="single" w:sz="4" w:space="0" w:color="auto"/>
              <w:bottom w:val="single" w:sz="4" w:space="0" w:color="auto"/>
              <w:right w:val="double" w:sz="4" w:space="0" w:color="auto"/>
            </w:tcBorders>
            <w:vAlign w:val="center"/>
          </w:tcPr>
          <w:p w14:paraId="21B2FF34"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r>
      <w:tr w:rsidR="00E262E6" w:rsidRPr="006E6CAA" w14:paraId="440EF8D7" w14:textId="77777777" w:rsidTr="002B6D6A">
        <w:trPr>
          <w:trHeight w:val="285"/>
          <w:jc w:val="center"/>
        </w:trPr>
        <w:tc>
          <w:tcPr>
            <w:tcW w:w="2902" w:type="dxa"/>
            <w:tcBorders>
              <w:top w:val="single" w:sz="4" w:space="0" w:color="auto"/>
              <w:left w:val="double" w:sz="4" w:space="0" w:color="auto"/>
              <w:bottom w:val="single" w:sz="4" w:space="0" w:color="auto"/>
              <w:right w:val="single" w:sz="4" w:space="0" w:color="auto"/>
            </w:tcBorders>
            <w:vAlign w:val="center"/>
            <w:hideMark/>
          </w:tcPr>
          <w:p w14:paraId="5B162D69"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6E6CAA">
              <w:rPr>
                <w:sz w:val="22"/>
                <w:szCs w:val="22"/>
              </w:rPr>
              <w:t>Diesel Fire Water Pump</w:t>
            </w:r>
          </w:p>
        </w:tc>
        <w:tc>
          <w:tcPr>
            <w:tcW w:w="1044" w:type="dxa"/>
            <w:tcBorders>
              <w:top w:val="single" w:sz="4" w:space="0" w:color="auto"/>
              <w:left w:val="single" w:sz="4" w:space="0" w:color="auto"/>
              <w:bottom w:val="single" w:sz="4" w:space="0" w:color="auto"/>
              <w:right w:val="single" w:sz="4" w:space="0" w:color="auto"/>
            </w:tcBorders>
            <w:vAlign w:val="center"/>
          </w:tcPr>
          <w:p w14:paraId="7CD903F6"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c>
          <w:tcPr>
            <w:tcW w:w="1045" w:type="dxa"/>
            <w:tcBorders>
              <w:top w:val="single" w:sz="4" w:space="0" w:color="auto"/>
              <w:left w:val="single" w:sz="4" w:space="0" w:color="auto"/>
              <w:bottom w:val="single" w:sz="4" w:space="0" w:color="auto"/>
              <w:right w:val="single" w:sz="4" w:space="0" w:color="auto"/>
            </w:tcBorders>
            <w:vAlign w:val="center"/>
          </w:tcPr>
          <w:p w14:paraId="2C79E702"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c>
          <w:tcPr>
            <w:tcW w:w="1043" w:type="dxa"/>
            <w:tcBorders>
              <w:top w:val="single" w:sz="4" w:space="0" w:color="auto"/>
              <w:left w:val="single" w:sz="4" w:space="0" w:color="auto"/>
              <w:bottom w:val="single" w:sz="4" w:space="0" w:color="auto"/>
              <w:right w:val="single" w:sz="4" w:space="0" w:color="auto"/>
            </w:tcBorders>
            <w:vAlign w:val="center"/>
          </w:tcPr>
          <w:p w14:paraId="5BA00E44"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c>
          <w:tcPr>
            <w:tcW w:w="1044" w:type="dxa"/>
            <w:tcBorders>
              <w:top w:val="single" w:sz="4" w:space="0" w:color="auto"/>
              <w:left w:val="single" w:sz="4" w:space="0" w:color="auto"/>
              <w:bottom w:val="single" w:sz="4" w:space="0" w:color="auto"/>
              <w:right w:val="single" w:sz="4" w:space="0" w:color="auto"/>
            </w:tcBorders>
            <w:vAlign w:val="center"/>
          </w:tcPr>
          <w:p w14:paraId="26503F0A"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1.8</w:t>
            </w:r>
          </w:p>
        </w:tc>
        <w:tc>
          <w:tcPr>
            <w:tcW w:w="1043" w:type="dxa"/>
            <w:tcBorders>
              <w:top w:val="single" w:sz="4" w:space="0" w:color="auto"/>
              <w:left w:val="single" w:sz="4" w:space="0" w:color="auto"/>
              <w:bottom w:val="single" w:sz="4" w:space="0" w:color="auto"/>
              <w:right w:val="single" w:sz="4" w:space="0" w:color="auto"/>
            </w:tcBorders>
            <w:vAlign w:val="center"/>
          </w:tcPr>
          <w:p w14:paraId="6F8F3188"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0.4</w:t>
            </w:r>
          </w:p>
        </w:tc>
        <w:tc>
          <w:tcPr>
            <w:tcW w:w="1044" w:type="dxa"/>
            <w:tcBorders>
              <w:top w:val="single" w:sz="4" w:space="0" w:color="auto"/>
              <w:left w:val="single" w:sz="4" w:space="0" w:color="auto"/>
              <w:bottom w:val="single" w:sz="4" w:space="0" w:color="auto"/>
              <w:right w:val="double" w:sz="4" w:space="0" w:color="auto"/>
            </w:tcBorders>
            <w:vAlign w:val="center"/>
          </w:tcPr>
          <w:p w14:paraId="636C1282"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r>
      <w:tr w:rsidR="00E262E6" w:rsidRPr="006E6CAA" w14:paraId="20594793" w14:textId="77777777" w:rsidTr="002B6D6A">
        <w:trPr>
          <w:trHeight w:val="285"/>
          <w:jc w:val="center"/>
        </w:trPr>
        <w:tc>
          <w:tcPr>
            <w:tcW w:w="2902" w:type="dxa"/>
            <w:tcBorders>
              <w:top w:val="single" w:sz="4" w:space="0" w:color="auto"/>
              <w:left w:val="double" w:sz="4" w:space="0" w:color="auto"/>
              <w:bottom w:val="single" w:sz="4" w:space="0" w:color="auto"/>
              <w:right w:val="single" w:sz="4" w:space="0" w:color="auto"/>
            </w:tcBorders>
            <w:vAlign w:val="center"/>
            <w:hideMark/>
          </w:tcPr>
          <w:p w14:paraId="0D6D345D"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6E6CAA">
              <w:rPr>
                <w:sz w:val="22"/>
                <w:szCs w:val="22"/>
              </w:rPr>
              <w:t>Lift Pump Emergency Generator</w:t>
            </w:r>
          </w:p>
        </w:tc>
        <w:tc>
          <w:tcPr>
            <w:tcW w:w="1044" w:type="dxa"/>
            <w:tcBorders>
              <w:top w:val="single" w:sz="4" w:space="0" w:color="auto"/>
              <w:left w:val="single" w:sz="4" w:space="0" w:color="auto"/>
              <w:bottom w:val="single" w:sz="4" w:space="0" w:color="auto"/>
              <w:right w:val="single" w:sz="4" w:space="0" w:color="auto"/>
            </w:tcBorders>
            <w:vAlign w:val="center"/>
          </w:tcPr>
          <w:p w14:paraId="317E889C"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c>
          <w:tcPr>
            <w:tcW w:w="1045" w:type="dxa"/>
            <w:tcBorders>
              <w:top w:val="single" w:sz="4" w:space="0" w:color="auto"/>
              <w:left w:val="single" w:sz="4" w:space="0" w:color="auto"/>
              <w:bottom w:val="single" w:sz="4" w:space="0" w:color="auto"/>
              <w:right w:val="single" w:sz="4" w:space="0" w:color="auto"/>
            </w:tcBorders>
            <w:vAlign w:val="center"/>
          </w:tcPr>
          <w:p w14:paraId="5E4BA4AF"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c>
          <w:tcPr>
            <w:tcW w:w="1043" w:type="dxa"/>
            <w:tcBorders>
              <w:top w:val="single" w:sz="4" w:space="0" w:color="auto"/>
              <w:left w:val="single" w:sz="4" w:space="0" w:color="auto"/>
              <w:bottom w:val="single" w:sz="4" w:space="0" w:color="auto"/>
              <w:right w:val="single" w:sz="4" w:space="0" w:color="auto"/>
            </w:tcBorders>
            <w:vAlign w:val="center"/>
          </w:tcPr>
          <w:p w14:paraId="16F9A984"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c>
          <w:tcPr>
            <w:tcW w:w="1044" w:type="dxa"/>
            <w:tcBorders>
              <w:top w:val="single" w:sz="4" w:space="0" w:color="auto"/>
              <w:left w:val="single" w:sz="4" w:space="0" w:color="auto"/>
              <w:bottom w:val="single" w:sz="4" w:space="0" w:color="auto"/>
              <w:right w:val="single" w:sz="4" w:space="0" w:color="auto"/>
            </w:tcBorders>
            <w:vAlign w:val="center"/>
          </w:tcPr>
          <w:p w14:paraId="02E8DB90"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2.1</w:t>
            </w:r>
          </w:p>
        </w:tc>
        <w:tc>
          <w:tcPr>
            <w:tcW w:w="1043" w:type="dxa"/>
            <w:tcBorders>
              <w:top w:val="single" w:sz="4" w:space="0" w:color="auto"/>
              <w:left w:val="single" w:sz="4" w:space="0" w:color="auto"/>
              <w:bottom w:val="single" w:sz="4" w:space="0" w:color="auto"/>
              <w:right w:val="single" w:sz="4" w:space="0" w:color="auto"/>
            </w:tcBorders>
            <w:vAlign w:val="center"/>
          </w:tcPr>
          <w:p w14:paraId="3A3BD60A"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1.1</w:t>
            </w:r>
          </w:p>
        </w:tc>
        <w:tc>
          <w:tcPr>
            <w:tcW w:w="1044" w:type="dxa"/>
            <w:tcBorders>
              <w:top w:val="single" w:sz="4" w:space="0" w:color="auto"/>
              <w:left w:val="single" w:sz="4" w:space="0" w:color="auto"/>
              <w:bottom w:val="single" w:sz="4" w:space="0" w:color="auto"/>
              <w:right w:val="double" w:sz="4" w:space="0" w:color="auto"/>
            </w:tcBorders>
            <w:vAlign w:val="center"/>
          </w:tcPr>
          <w:p w14:paraId="248F165A"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2.1</w:t>
            </w:r>
          </w:p>
        </w:tc>
      </w:tr>
      <w:tr w:rsidR="00E262E6" w:rsidRPr="006E6CAA" w14:paraId="29663B90" w14:textId="77777777" w:rsidTr="002B6D6A">
        <w:trPr>
          <w:trHeight w:val="285"/>
          <w:jc w:val="center"/>
        </w:trPr>
        <w:tc>
          <w:tcPr>
            <w:tcW w:w="2902" w:type="dxa"/>
            <w:tcBorders>
              <w:top w:val="single" w:sz="4" w:space="0" w:color="auto"/>
              <w:left w:val="double" w:sz="4" w:space="0" w:color="auto"/>
              <w:bottom w:val="single" w:sz="4" w:space="0" w:color="auto"/>
              <w:right w:val="single" w:sz="4" w:space="0" w:color="auto"/>
            </w:tcBorders>
            <w:vAlign w:val="center"/>
            <w:hideMark/>
          </w:tcPr>
          <w:p w14:paraId="1C1B93D1"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6E6CAA">
              <w:rPr>
                <w:sz w:val="22"/>
                <w:szCs w:val="22"/>
              </w:rPr>
              <w:t>Lime Kiln Auxiliary Drive</w:t>
            </w:r>
          </w:p>
        </w:tc>
        <w:tc>
          <w:tcPr>
            <w:tcW w:w="1044" w:type="dxa"/>
            <w:tcBorders>
              <w:top w:val="single" w:sz="4" w:space="0" w:color="auto"/>
              <w:left w:val="single" w:sz="4" w:space="0" w:color="auto"/>
              <w:bottom w:val="single" w:sz="4" w:space="0" w:color="auto"/>
              <w:right w:val="single" w:sz="4" w:space="0" w:color="auto"/>
            </w:tcBorders>
            <w:vAlign w:val="center"/>
          </w:tcPr>
          <w:p w14:paraId="6902825A"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c>
          <w:tcPr>
            <w:tcW w:w="1045" w:type="dxa"/>
            <w:tcBorders>
              <w:top w:val="single" w:sz="4" w:space="0" w:color="auto"/>
              <w:left w:val="single" w:sz="4" w:space="0" w:color="auto"/>
              <w:bottom w:val="single" w:sz="4" w:space="0" w:color="auto"/>
              <w:right w:val="single" w:sz="4" w:space="0" w:color="auto"/>
            </w:tcBorders>
            <w:vAlign w:val="center"/>
          </w:tcPr>
          <w:p w14:paraId="204FB733"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c>
          <w:tcPr>
            <w:tcW w:w="1043" w:type="dxa"/>
            <w:tcBorders>
              <w:top w:val="single" w:sz="4" w:space="0" w:color="auto"/>
              <w:left w:val="single" w:sz="4" w:space="0" w:color="auto"/>
              <w:bottom w:val="single" w:sz="4" w:space="0" w:color="auto"/>
              <w:right w:val="single" w:sz="4" w:space="0" w:color="auto"/>
            </w:tcBorders>
            <w:vAlign w:val="center"/>
          </w:tcPr>
          <w:p w14:paraId="2D33E6B6"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c>
          <w:tcPr>
            <w:tcW w:w="1044" w:type="dxa"/>
            <w:tcBorders>
              <w:top w:val="single" w:sz="4" w:space="0" w:color="auto"/>
              <w:left w:val="single" w:sz="4" w:space="0" w:color="auto"/>
              <w:bottom w:val="single" w:sz="4" w:space="0" w:color="auto"/>
              <w:right w:val="single" w:sz="4" w:space="0" w:color="auto"/>
            </w:tcBorders>
            <w:vAlign w:val="center"/>
          </w:tcPr>
          <w:p w14:paraId="3B269D06"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0.3</w:t>
            </w:r>
          </w:p>
        </w:tc>
        <w:tc>
          <w:tcPr>
            <w:tcW w:w="1043" w:type="dxa"/>
            <w:tcBorders>
              <w:top w:val="single" w:sz="4" w:space="0" w:color="auto"/>
              <w:left w:val="single" w:sz="4" w:space="0" w:color="auto"/>
              <w:bottom w:val="single" w:sz="4" w:space="0" w:color="auto"/>
              <w:right w:val="single" w:sz="4" w:space="0" w:color="auto"/>
            </w:tcBorders>
            <w:vAlign w:val="center"/>
          </w:tcPr>
          <w:p w14:paraId="5362BEE7"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c>
          <w:tcPr>
            <w:tcW w:w="1044" w:type="dxa"/>
            <w:tcBorders>
              <w:top w:val="single" w:sz="4" w:space="0" w:color="auto"/>
              <w:left w:val="single" w:sz="4" w:space="0" w:color="auto"/>
              <w:bottom w:val="single" w:sz="4" w:space="0" w:color="auto"/>
              <w:right w:val="double" w:sz="4" w:space="0" w:color="auto"/>
            </w:tcBorders>
            <w:vAlign w:val="center"/>
          </w:tcPr>
          <w:p w14:paraId="0E4287F3"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6E6CAA">
              <w:rPr>
                <w:color w:val="000000"/>
                <w:sz w:val="22"/>
                <w:szCs w:val="22"/>
              </w:rPr>
              <w:t>0.1</w:t>
            </w:r>
          </w:p>
        </w:tc>
      </w:tr>
      <w:tr w:rsidR="00E262E6" w:rsidRPr="006E6CAA" w14:paraId="16DB8D10" w14:textId="77777777" w:rsidTr="002B6D6A">
        <w:trPr>
          <w:trHeight w:val="285"/>
          <w:jc w:val="center"/>
        </w:trPr>
        <w:tc>
          <w:tcPr>
            <w:tcW w:w="2902" w:type="dxa"/>
            <w:tcBorders>
              <w:top w:val="single" w:sz="4" w:space="0" w:color="auto"/>
              <w:left w:val="double" w:sz="4" w:space="0" w:color="auto"/>
              <w:bottom w:val="single" w:sz="4" w:space="0" w:color="auto"/>
              <w:right w:val="single" w:sz="4" w:space="0" w:color="auto"/>
            </w:tcBorders>
            <w:vAlign w:val="center"/>
          </w:tcPr>
          <w:p w14:paraId="5207C553" w14:textId="77777777" w:rsidR="00E262E6" w:rsidRPr="0079553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ClO</w:t>
            </w:r>
            <w:r>
              <w:rPr>
                <w:sz w:val="22"/>
                <w:szCs w:val="22"/>
                <w:vertAlign w:val="subscript"/>
              </w:rPr>
              <w:t>2</w:t>
            </w:r>
            <w:r>
              <w:rPr>
                <w:sz w:val="22"/>
                <w:szCs w:val="22"/>
              </w:rPr>
              <w:t xml:space="preserve"> Emergency Generator</w:t>
            </w:r>
          </w:p>
        </w:tc>
        <w:tc>
          <w:tcPr>
            <w:tcW w:w="1044" w:type="dxa"/>
            <w:tcBorders>
              <w:top w:val="single" w:sz="4" w:space="0" w:color="auto"/>
              <w:left w:val="single" w:sz="4" w:space="0" w:color="auto"/>
              <w:bottom w:val="single" w:sz="4" w:space="0" w:color="auto"/>
              <w:right w:val="single" w:sz="4" w:space="0" w:color="auto"/>
            </w:tcBorders>
            <w:vAlign w:val="center"/>
          </w:tcPr>
          <w:p w14:paraId="0F29DBF8"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color w:val="000000"/>
                <w:sz w:val="22"/>
                <w:szCs w:val="22"/>
              </w:rPr>
            </w:pPr>
            <w:r>
              <w:rPr>
                <w:color w:val="000000"/>
                <w:sz w:val="22"/>
                <w:szCs w:val="22"/>
              </w:rPr>
              <w:t>–</w:t>
            </w:r>
          </w:p>
        </w:tc>
        <w:tc>
          <w:tcPr>
            <w:tcW w:w="1045" w:type="dxa"/>
            <w:tcBorders>
              <w:top w:val="single" w:sz="4" w:space="0" w:color="auto"/>
              <w:left w:val="single" w:sz="4" w:space="0" w:color="auto"/>
              <w:bottom w:val="single" w:sz="4" w:space="0" w:color="auto"/>
              <w:right w:val="single" w:sz="4" w:space="0" w:color="auto"/>
            </w:tcBorders>
            <w:vAlign w:val="center"/>
          </w:tcPr>
          <w:p w14:paraId="53E87243"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color w:val="000000"/>
                <w:sz w:val="22"/>
                <w:szCs w:val="22"/>
              </w:rPr>
            </w:pPr>
            <w:r>
              <w:rPr>
                <w:color w:val="000000"/>
                <w:sz w:val="22"/>
                <w:szCs w:val="22"/>
              </w:rPr>
              <w:t>–</w:t>
            </w:r>
          </w:p>
        </w:tc>
        <w:tc>
          <w:tcPr>
            <w:tcW w:w="1043" w:type="dxa"/>
            <w:tcBorders>
              <w:top w:val="single" w:sz="4" w:space="0" w:color="auto"/>
              <w:left w:val="single" w:sz="4" w:space="0" w:color="auto"/>
              <w:bottom w:val="single" w:sz="4" w:space="0" w:color="auto"/>
              <w:right w:val="single" w:sz="4" w:space="0" w:color="auto"/>
            </w:tcBorders>
            <w:vAlign w:val="center"/>
          </w:tcPr>
          <w:p w14:paraId="177464E3"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color w:val="000000"/>
                <w:sz w:val="22"/>
                <w:szCs w:val="22"/>
              </w:rPr>
            </w:pPr>
            <w:r>
              <w:rPr>
                <w:color w:val="000000"/>
                <w:sz w:val="22"/>
                <w:szCs w:val="22"/>
              </w:rPr>
              <w:t>–</w:t>
            </w:r>
          </w:p>
        </w:tc>
        <w:tc>
          <w:tcPr>
            <w:tcW w:w="1044" w:type="dxa"/>
            <w:tcBorders>
              <w:top w:val="single" w:sz="4" w:space="0" w:color="auto"/>
              <w:left w:val="single" w:sz="4" w:space="0" w:color="auto"/>
              <w:bottom w:val="single" w:sz="4" w:space="0" w:color="auto"/>
              <w:right w:val="single" w:sz="4" w:space="0" w:color="auto"/>
            </w:tcBorders>
            <w:vAlign w:val="center"/>
          </w:tcPr>
          <w:p w14:paraId="674F0532"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color w:val="000000"/>
                <w:sz w:val="22"/>
                <w:szCs w:val="22"/>
              </w:rPr>
            </w:pPr>
            <w:r>
              <w:rPr>
                <w:color w:val="000000"/>
                <w:sz w:val="22"/>
                <w:szCs w:val="22"/>
              </w:rPr>
              <w:t>0.3</w:t>
            </w:r>
          </w:p>
        </w:tc>
        <w:tc>
          <w:tcPr>
            <w:tcW w:w="1043" w:type="dxa"/>
            <w:tcBorders>
              <w:top w:val="single" w:sz="4" w:space="0" w:color="auto"/>
              <w:left w:val="single" w:sz="4" w:space="0" w:color="auto"/>
              <w:bottom w:val="single" w:sz="4" w:space="0" w:color="auto"/>
              <w:right w:val="single" w:sz="4" w:space="0" w:color="auto"/>
            </w:tcBorders>
            <w:vAlign w:val="center"/>
          </w:tcPr>
          <w:p w14:paraId="5D8739DC"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color w:val="000000"/>
                <w:sz w:val="22"/>
                <w:szCs w:val="22"/>
              </w:rPr>
            </w:pPr>
            <w:r>
              <w:rPr>
                <w:color w:val="000000"/>
                <w:sz w:val="22"/>
                <w:szCs w:val="22"/>
              </w:rPr>
              <w:t>0.1</w:t>
            </w:r>
          </w:p>
        </w:tc>
        <w:tc>
          <w:tcPr>
            <w:tcW w:w="1044" w:type="dxa"/>
            <w:tcBorders>
              <w:top w:val="single" w:sz="4" w:space="0" w:color="auto"/>
              <w:left w:val="single" w:sz="4" w:space="0" w:color="auto"/>
              <w:bottom w:val="single" w:sz="4" w:space="0" w:color="auto"/>
              <w:right w:val="double" w:sz="4" w:space="0" w:color="auto"/>
            </w:tcBorders>
            <w:vAlign w:val="center"/>
          </w:tcPr>
          <w:p w14:paraId="27C39FF0"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color w:val="000000"/>
                <w:sz w:val="22"/>
                <w:szCs w:val="22"/>
              </w:rPr>
            </w:pPr>
            <w:r>
              <w:rPr>
                <w:color w:val="000000"/>
                <w:sz w:val="22"/>
                <w:szCs w:val="22"/>
              </w:rPr>
              <w:t>–</w:t>
            </w:r>
          </w:p>
        </w:tc>
      </w:tr>
      <w:tr w:rsidR="00E262E6" w:rsidRPr="006E6CAA" w14:paraId="0F50EA0A" w14:textId="77777777" w:rsidTr="002B6D6A">
        <w:trPr>
          <w:trHeight w:val="285"/>
          <w:jc w:val="center"/>
        </w:trPr>
        <w:tc>
          <w:tcPr>
            <w:tcW w:w="2902" w:type="dxa"/>
            <w:tcBorders>
              <w:top w:val="single" w:sz="12" w:space="0" w:color="auto"/>
              <w:left w:val="double" w:sz="4" w:space="0" w:color="auto"/>
              <w:bottom w:val="double" w:sz="4" w:space="0" w:color="auto"/>
              <w:right w:val="single" w:sz="4" w:space="0" w:color="auto"/>
            </w:tcBorders>
            <w:hideMark/>
          </w:tcPr>
          <w:p w14:paraId="7FBF4E3D"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b/>
                <w:sz w:val="22"/>
                <w:szCs w:val="22"/>
              </w:rPr>
            </w:pPr>
            <w:r w:rsidRPr="006E6CAA">
              <w:rPr>
                <w:b/>
                <w:sz w:val="22"/>
                <w:szCs w:val="22"/>
              </w:rPr>
              <w:t>Total TPY</w:t>
            </w:r>
          </w:p>
        </w:tc>
        <w:tc>
          <w:tcPr>
            <w:tcW w:w="1044" w:type="dxa"/>
            <w:tcBorders>
              <w:top w:val="single" w:sz="12" w:space="0" w:color="auto"/>
              <w:left w:val="single" w:sz="4" w:space="0" w:color="auto"/>
              <w:bottom w:val="double" w:sz="4" w:space="0" w:color="auto"/>
              <w:right w:val="single" w:sz="4" w:space="0" w:color="auto"/>
            </w:tcBorders>
            <w:vAlign w:val="bottom"/>
          </w:tcPr>
          <w:p w14:paraId="69297989"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color w:val="000000"/>
                <w:sz w:val="22"/>
                <w:szCs w:val="22"/>
              </w:rPr>
              <w:t>819.1</w:t>
            </w:r>
          </w:p>
        </w:tc>
        <w:tc>
          <w:tcPr>
            <w:tcW w:w="1045" w:type="dxa"/>
            <w:tcBorders>
              <w:top w:val="single" w:sz="12" w:space="0" w:color="auto"/>
              <w:left w:val="single" w:sz="4" w:space="0" w:color="auto"/>
              <w:bottom w:val="double" w:sz="4" w:space="0" w:color="auto"/>
              <w:right w:val="single" w:sz="4" w:space="0" w:color="auto"/>
            </w:tcBorders>
            <w:vAlign w:val="bottom"/>
          </w:tcPr>
          <w:p w14:paraId="772874E0"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color w:val="000000"/>
                <w:sz w:val="22"/>
                <w:szCs w:val="22"/>
              </w:rPr>
              <w:t>741.9</w:t>
            </w:r>
          </w:p>
        </w:tc>
        <w:tc>
          <w:tcPr>
            <w:tcW w:w="1043" w:type="dxa"/>
            <w:tcBorders>
              <w:top w:val="single" w:sz="12" w:space="0" w:color="auto"/>
              <w:left w:val="single" w:sz="4" w:space="0" w:color="auto"/>
              <w:bottom w:val="double" w:sz="4" w:space="0" w:color="auto"/>
              <w:right w:val="single" w:sz="4" w:space="0" w:color="auto"/>
            </w:tcBorders>
            <w:vAlign w:val="bottom"/>
          </w:tcPr>
          <w:p w14:paraId="6618BC18"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6E6CAA">
              <w:rPr>
                <w:b/>
                <w:color w:val="000000"/>
                <w:sz w:val="22"/>
                <w:szCs w:val="22"/>
              </w:rPr>
              <w:t>2,916.1</w:t>
            </w:r>
          </w:p>
        </w:tc>
        <w:tc>
          <w:tcPr>
            <w:tcW w:w="1044" w:type="dxa"/>
            <w:tcBorders>
              <w:top w:val="single" w:sz="12" w:space="0" w:color="auto"/>
              <w:left w:val="single" w:sz="4" w:space="0" w:color="auto"/>
              <w:bottom w:val="double" w:sz="4" w:space="0" w:color="auto"/>
              <w:right w:val="single" w:sz="4" w:space="0" w:color="auto"/>
            </w:tcBorders>
            <w:vAlign w:val="bottom"/>
          </w:tcPr>
          <w:p w14:paraId="5DF4D556"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color w:val="000000"/>
                <w:sz w:val="22"/>
                <w:szCs w:val="22"/>
              </w:rPr>
              <w:t>5,078.4</w:t>
            </w:r>
          </w:p>
        </w:tc>
        <w:tc>
          <w:tcPr>
            <w:tcW w:w="1043" w:type="dxa"/>
            <w:tcBorders>
              <w:top w:val="single" w:sz="12" w:space="0" w:color="auto"/>
              <w:left w:val="single" w:sz="4" w:space="0" w:color="auto"/>
              <w:bottom w:val="double" w:sz="4" w:space="0" w:color="auto"/>
              <w:right w:val="single" w:sz="4" w:space="0" w:color="auto"/>
            </w:tcBorders>
            <w:vAlign w:val="bottom"/>
          </w:tcPr>
          <w:p w14:paraId="14A91E4F"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color w:val="000000"/>
                <w:sz w:val="22"/>
                <w:szCs w:val="22"/>
              </w:rPr>
              <w:t>3,632.9</w:t>
            </w:r>
          </w:p>
        </w:tc>
        <w:tc>
          <w:tcPr>
            <w:tcW w:w="1044" w:type="dxa"/>
            <w:tcBorders>
              <w:top w:val="single" w:sz="12" w:space="0" w:color="auto"/>
              <w:left w:val="single" w:sz="4" w:space="0" w:color="auto"/>
              <w:bottom w:val="double" w:sz="4" w:space="0" w:color="auto"/>
              <w:right w:val="double" w:sz="4" w:space="0" w:color="auto"/>
            </w:tcBorders>
            <w:vAlign w:val="bottom"/>
          </w:tcPr>
          <w:p w14:paraId="36FC7CEA" w14:textId="77777777" w:rsidR="00E262E6" w:rsidRPr="006E6CAA" w:rsidRDefault="00E262E6" w:rsidP="002B6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color w:val="000000"/>
                <w:sz w:val="22"/>
                <w:szCs w:val="22"/>
              </w:rPr>
              <w:t>319.2</w:t>
            </w:r>
          </w:p>
        </w:tc>
      </w:tr>
    </w:tbl>
    <w:p w14:paraId="30447453" w14:textId="77777777" w:rsidR="003009E1" w:rsidRPr="003009E1" w:rsidRDefault="003009E1" w:rsidP="00AC1BCD"/>
    <w:p w14:paraId="4D2F56D7" w14:textId="77777777" w:rsidR="003009E1" w:rsidRPr="003009E1" w:rsidRDefault="003009E1" w:rsidP="00AC1BCD"/>
    <w:p w14:paraId="2C2342E9" w14:textId="77777777" w:rsidR="00793874" w:rsidRPr="003009E1" w:rsidRDefault="00793874" w:rsidP="00AC1BCD">
      <w:pPr>
        <w:pStyle w:val="Heading1"/>
      </w:pPr>
      <w:r w:rsidRPr="003009E1">
        <w:t>ORDER</w:t>
      </w:r>
    </w:p>
    <w:p w14:paraId="5FCA9F16" w14:textId="77777777" w:rsidR="00793874" w:rsidRPr="003009E1" w:rsidRDefault="00793874" w:rsidP="00AC1BCD"/>
    <w:p w14:paraId="4166AFC9" w14:textId="77777777" w:rsidR="00793874" w:rsidRPr="003009E1" w:rsidRDefault="00793874" w:rsidP="00AC1BCD">
      <w:r w:rsidRPr="003009E1">
        <w:t>Based on the above Findings and subject to conditions listed below, the Department concludes that the emissions from this source:</w:t>
      </w:r>
    </w:p>
    <w:p w14:paraId="1B72820C" w14:textId="77777777" w:rsidR="00793874" w:rsidRPr="003009E1" w:rsidRDefault="00793874" w:rsidP="00AC1BCD">
      <w:pPr>
        <w:numPr>
          <w:ilvl w:val="0"/>
          <w:numId w:val="4"/>
        </w:numPr>
        <w:tabs>
          <w:tab w:val="clear" w:pos="720"/>
        </w:tabs>
        <w:ind w:left="360" w:hanging="360"/>
      </w:pPr>
      <w:r w:rsidRPr="003009E1">
        <w:t>will receive Best Practical Treatment,</w:t>
      </w:r>
    </w:p>
    <w:p w14:paraId="12F3B98A" w14:textId="77777777" w:rsidR="00793874" w:rsidRPr="003009E1" w:rsidRDefault="00793874" w:rsidP="00AC1BCD">
      <w:pPr>
        <w:numPr>
          <w:ilvl w:val="0"/>
          <w:numId w:val="4"/>
        </w:numPr>
        <w:tabs>
          <w:tab w:val="clear" w:pos="720"/>
        </w:tabs>
        <w:ind w:left="360" w:hanging="360"/>
      </w:pPr>
      <w:r w:rsidRPr="003009E1">
        <w:t>will not violate applicable emission standards,</w:t>
      </w:r>
    </w:p>
    <w:p w14:paraId="2B2198EF" w14:textId="77777777" w:rsidR="00793874" w:rsidRPr="003009E1" w:rsidRDefault="00793874" w:rsidP="00AC1BCD">
      <w:pPr>
        <w:numPr>
          <w:ilvl w:val="0"/>
          <w:numId w:val="4"/>
        </w:numPr>
        <w:tabs>
          <w:tab w:val="clear" w:pos="720"/>
        </w:tabs>
        <w:ind w:left="360" w:hanging="360"/>
      </w:pPr>
      <w:r w:rsidRPr="003009E1">
        <w:t>will not violate applicable ambient air qualit</w:t>
      </w:r>
      <w:r w:rsidR="003009E1" w:rsidRPr="003009E1">
        <w:t xml:space="preserve">y standards in conjunction with </w:t>
      </w:r>
      <w:r w:rsidRPr="003009E1">
        <w:t>emissions from other sources.</w:t>
      </w:r>
    </w:p>
    <w:p w14:paraId="42F4CC56" w14:textId="77777777" w:rsidR="00793874" w:rsidRPr="003009E1" w:rsidRDefault="00793874" w:rsidP="00AC1BCD"/>
    <w:p w14:paraId="444FCBF8" w14:textId="616D3C2B" w:rsidR="00793874" w:rsidRPr="003009E1" w:rsidRDefault="00793874" w:rsidP="00AC1BCD">
      <w:pPr>
        <w:pStyle w:val="BodyText"/>
      </w:pPr>
      <w:r w:rsidRPr="003009E1">
        <w:t xml:space="preserve">The Department hereby grants </w:t>
      </w:r>
      <w:r w:rsidR="003009E1" w:rsidRPr="003009E1">
        <w:t>New Source Review</w:t>
      </w:r>
      <w:r w:rsidRPr="003009E1">
        <w:t xml:space="preserve"> License</w:t>
      </w:r>
      <w:r w:rsidR="00A9415B">
        <w:t xml:space="preserve"> </w:t>
      </w:r>
      <w:r w:rsidRPr="003009E1">
        <w:t>A-</w:t>
      </w:r>
      <w:r w:rsidR="004C5008">
        <w:t>214</w:t>
      </w:r>
      <w:r w:rsidRPr="003009E1">
        <w:t>-</w:t>
      </w:r>
      <w:r w:rsidR="00297B5A" w:rsidRPr="003009E1">
        <w:t>77</w:t>
      </w:r>
      <w:r w:rsidRPr="003009E1">
        <w:t>-</w:t>
      </w:r>
      <w:r w:rsidR="004C5008">
        <w:t>21</w:t>
      </w:r>
      <w:r w:rsidRPr="003009E1">
        <w:t>-</w:t>
      </w:r>
      <w:r w:rsidR="00177EDF">
        <w:t>A</w:t>
      </w:r>
      <w:r w:rsidR="00D82368" w:rsidRPr="003009E1">
        <w:t xml:space="preserve"> pursuant to the preconstruction licensing requirements of </w:t>
      </w:r>
      <w:r w:rsidR="006B41FC" w:rsidRPr="003009E1">
        <w:t>06-096 C</w:t>
      </w:r>
      <w:r w:rsidR="008D5893">
        <w:t>.</w:t>
      </w:r>
      <w:r w:rsidR="006B41FC" w:rsidRPr="003009E1">
        <w:t>M</w:t>
      </w:r>
      <w:r w:rsidR="008D5893">
        <w:t>.</w:t>
      </w:r>
      <w:r w:rsidR="006B41FC" w:rsidRPr="003009E1">
        <w:t>R</w:t>
      </w:r>
      <w:r w:rsidR="008D5893">
        <w:t>. ch.</w:t>
      </w:r>
      <w:r w:rsidR="00D82368" w:rsidRPr="003009E1">
        <w:t xml:space="preserve"> 115 and subject to the </w:t>
      </w:r>
      <w:r w:rsidR="00A9415B">
        <w:t>specific</w:t>
      </w:r>
      <w:r w:rsidR="00A9415B" w:rsidRPr="003009E1">
        <w:t xml:space="preserve"> </w:t>
      </w:r>
      <w:r w:rsidR="00D82368" w:rsidRPr="003009E1">
        <w:t>conditions below.</w:t>
      </w:r>
    </w:p>
    <w:p w14:paraId="4450C2EF" w14:textId="77777777" w:rsidR="00EA2C4B" w:rsidRPr="003009E1" w:rsidRDefault="00EA2C4B" w:rsidP="00AC1BCD">
      <w:pPr>
        <w:pStyle w:val="BodyText"/>
      </w:pPr>
    </w:p>
    <w:p w14:paraId="69531C7E" w14:textId="5E701F63" w:rsidR="00EA2C4B" w:rsidRPr="003009E1" w:rsidRDefault="00EA2C4B" w:rsidP="00AC1BCD">
      <w:pPr>
        <w:autoSpaceDE w:val="0"/>
        <w:autoSpaceDN w:val="0"/>
        <w:adjustRightInd w:val="0"/>
        <w:rPr>
          <w:bCs/>
          <w:szCs w:val="24"/>
        </w:rPr>
      </w:pPr>
      <w:r w:rsidRPr="003009E1">
        <w:rPr>
          <w:bCs/>
          <w:szCs w:val="24"/>
          <w:u w:val="single"/>
        </w:rPr>
        <w:t>Severability</w:t>
      </w:r>
      <w:r w:rsidRPr="003009E1">
        <w:rPr>
          <w:bCs/>
          <w:szCs w:val="24"/>
        </w:rPr>
        <w:t>.  The invalidity or une</w:t>
      </w:r>
      <w:r w:rsidR="003009E1" w:rsidRPr="003009E1">
        <w:rPr>
          <w:bCs/>
          <w:szCs w:val="24"/>
        </w:rPr>
        <w:t xml:space="preserve">nforceability of any provision </w:t>
      </w:r>
      <w:r w:rsidRPr="003009E1">
        <w:rPr>
          <w:bCs/>
          <w:szCs w:val="24"/>
        </w:rPr>
        <w:t>of this License</w:t>
      </w:r>
      <w:r w:rsidR="003009E1" w:rsidRPr="003009E1">
        <w:rPr>
          <w:bCs/>
          <w:szCs w:val="24"/>
        </w:rPr>
        <w:t xml:space="preserve"> or part thereof</w:t>
      </w:r>
      <w:r w:rsidRPr="003009E1">
        <w:rPr>
          <w:bCs/>
          <w:szCs w:val="24"/>
        </w:rPr>
        <w:t xml:space="preserve"> shall not affect the remainder of the provision or any other provisions.  This License shall be </w:t>
      </w:r>
      <w:r w:rsidRPr="003009E1">
        <w:rPr>
          <w:bCs/>
          <w:szCs w:val="24"/>
        </w:rPr>
        <w:lastRenderedPageBreak/>
        <w:t>construed and enforced in all respects as if such invalid or unenforceable provision or part thereof had been omitted.</w:t>
      </w:r>
    </w:p>
    <w:p w14:paraId="34790D87" w14:textId="77777777" w:rsidR="00793874" w:rsidRPr="003009E1" w:rsidRDefault="00793874" w:rsidP="00AC1BCD"/>
    <w:p w14:paraId="2308C245" w14:textId="77777777" w:rsidR="00793874" w:rsidRPr="003009E1" w:rsidRDefault="00793874" w:rsidP="00AC1BCD">
      <w:pPr>
        <w:pStyle w:val="Heading1"/>
        <w:jc w:val="left"/>
      </w:pPr>
      <w:r w:rsidRPr="003009E1">
        <w:t>SPECIFIC CONDITIONS</w:t>
      </w:r>
    </w:p>
    <w:p w14:paraId="22119CD2" w14:textId="77777777" w:rsidR="00793874" w:rsidRDefault="00793874" w:rsidP="00AC1BCD"/>
    <w:p w14:paraId="5C40D8DD" w14:textId="77777777" w:rsidR="00507B95" w:rsidRDefault="00507B95" w:rsidP="00AC1BCD">
      <w:pPr>
        <w:pStyle w:val="Condition"/>
      </w:pPr>
      <w:r>
        <w:t>Recovery Boiler C</w:t>
      </w:r>
    </w:p>
    <w:p w14:paraId="43DF4E55" w14:textId="77777777" w:rsidR="00507B95" w:rsidRDefault="00507B95" w:rsidP="004C5008"/>
    <w:p w14:paraId="1004FC95" w14:textId="4FD3DF8B" w:rsidR="004C5008" w:rsidRDefault="004C5008" w:rsidP="008E78F9">
      <w:pPr>
        <w:pStyle w:val="ListParagraph"/>
        <w:numPr>
          <w:ilvl w:val="0"/>
          <w:numId w:val="30"/>
        </w:numPr>
        <w:ind w:left="1080"/>
      </w:pPr>
      <w:r>
        <w:t>Recovery Boiler C is licensed to fire natural gas</w:t>
      </w:r>
      <w:r w:rsidR="009D034B">
        <w:t xml:space="preserve"> in addition to the fuels for which it is already licensed</w:t>
      </w:r>
      <w:r>
        <w:t>. [06-096 C.M.R. ch. 115, BPT]</w:t>
      </w:r>
    </w:p>
    <w:p w14:paraId="305C77D7" w14:textId="77777777" w:rsidR="008E78F9" w:rsidRDefault="008E78F9" w:rsidP="008E78F9">
      <w:pPr>
        <w:pStyle w:val="ListParagraph"/>
        <w:ind w:left="1080"/>
      </w:pPr>
    </w:p>
    <w:p w14:paraId="38FC1CE4" w14:textId="19A5FDC4" w:rsidR="004C5008" w:rsidRDefault="004C5008" w:rsidP="008E78F9">
      <w:pPr>
        <w:pStyle w:val="ListParagraph"/>
        <w:numPr>
          <w:ilvl w:val="0"/>
          <w:numId w:val="30"/>
        </w:numPr>
        <w:ind w:left="1080"/>
      </w:pPr>
      <w:r>
        <w:t>Recovery Boiler C shall be equipped with Low-NO</w:t>
      </w:r>
      <w:r w:rsidRPr="00E36A5D">
        <w:rPr>
          <w:vertAlign w:val="subscript"/>
        </w:rPr>
        <w:t>x</w:t>
      </w:r>
      <w:r>
        <w:t xml:space="preserve"> burners for the combustion of natural gas. [06-096 C.M.R. ch. 115, BPT]</w:t>
      </w:r>
    </w:p>
    <w:p w14:paraId="2E7CA941" w14:textId="77777777" w:rsidR="008E78F9" w:rsidRDefault="008E78F9" w:rsidP="008E78F9">
      <w:pPr>
        <w:pStyle w:val="ListParagraph"/>
        <w:ind w:left="1080"/>
      </w:pPr>
    </w:p>
    <w:p w14:paraId="0A740678" w14:textId="666E3F3B" w:rsidR="004C5008" w:rsidRDefault="004C5008" w:rsidP="008E78F9">
      <w:pPr>
        <w:pStyle w:val="ListParagraph"/>
        <w:numPr>
          <w:ilvl w:val="0"/>
          <w:numId w:val="30"/>
        </w:numPr>
        <w:ind w:left="1080"/>
      </w:pPr>
      <w:r>
        <w:t>NDP shall equip and operate an ESP on Recovery Boiler C for control of PM emissions. [06-096 C.M.R. ch. 115, BPT]</w:t>
      </w:r>
    </w:p>
    <w:p w14:paraId="31DAAF7C" w14:textId="77777777" w:rsidR="004C5008" w:rsidRDefault="004C5008" w:rsidP="004C5008"/>
    <w:p w14:paraId="6B67AFAF" w14:textId="40178365" w:rsidR="00507B95" w:rsidRDefault="00507B95" w:rsidP="00AC1BCD">
      <w:pPr>
        <w:pStyle w:val="Condition"/>
      </w:pPr>
      <w:r>
        <w:t>Cogen Boilers #6 and #7</w:t>
      </w:r>
    </w:p>
    <w:p w14:paraId="052C542D" w14:textId="77777777" w:rsidR="008E78F9" w:rsidRDefault="008E78F9" w:rsidP="008E78F9"/>
    <w:p w14:paraId="58F22B09" w14:textId="3A9630C2" w:rsidR="00093356" w:rsidRDefault="008E78F9" w:rsidP="008E78F9">
      <w:pPr>
        <w:pStyle w:val="ListParagraph"/>
        <w:numPr>
          <w:ilvl w:val="0"/>
          <w:numId w:val="32"/>
        </w:numPr>
      </w:pPr>
      <w:r>
        <w:t>Cogen Boiles #6 and #</w:t>
      </w:r>
      <w:r w:rsidR="009D034B">
        <w:t xml:space="preserve">7 </w:t>
      </w:r>
      <w:r>
        <w:t>are licensed to fire natural gas</w:t>
      </w:r>
      <w:r w:rsidR="009D034B" w:rsidRPr="009D034B">
        <w:rPr>
          <w:szCs w:val="20"/>
        </w:rPr>
        <w:t xml:space="preserve"> </w:t>
      </w:r>
      <w:r w:rsidR="009D034B" w:rsidRPr="009D034B">
        <w:t xml:space="preserve">in addition to the fuels for which </w:t>
      </w:r>
      <w:r w:rsidR="009D034B">
        <w:t>they are</w:t>
      </w:r>
      <w:r w:rsidR="009D034B" w:rsidRPr="009D034B">
        <w:t xml:space="preserve"> already licensed</w:t>
      </w:r>
      <w:r w:rsidR="009D034B">
        <w:t>.</w:t>
      </w:r>
      <w:r>
        <w:t xml:space="preserve"> [06-096 C.M.R. ch. 115, BPT]</w:t>
      </w:r>
    </w:p>
    <w:p w14:paraId="6A5A7738" w14:textId="77777777" w:rsidR="008E78F9" w:rsidRDefault="008E78F9" w:rsidP="008E78F9">
      <w:pPr>
        <w:pStyle w:val="ListParagraph"/>
        <w:ind w:left="1080"/>
      </w:pPr>
    </w:p>
    <w:p w14:paraId="55AC74FB" w14:textId="449874B0" w:rsidR="008E78F9" w:rsidRDefault="008E78F9" w:rsidP="008E78F9">
      <w:pPr>
        <w:pStyle w:val="ListParagraph"/>
        <w:numPr>
          <w:ilvl w:val="0"/>
          <w:numId w:val="32"/>
        </w:numPr>
      </w:pPr>
      <w:r>
        <w:t>NDP shall equip and operate an ESP</w:t>
      </w:r>
      <w:r w:rsidR="00E262E6">
        <w:t>s</w:t>
      </w:r>
      <w:r>
        <w:t xml:space="preserve"> on </w:t>
      </w:r>
      <w:r w:rsidR="00E262E6">
        <w:t xml:space="preserve">both </w:t>
      </w:r>
      <w:r>
        <w:t>Cogen Boilers #6 and #7 for control of PM emissions. [06-096 C.M.R. ch. 115, BPT]</w:t>
      </w:r>
    </w:p>
    <w:p w14:paraId="2F5FF509" w14:textId="77777777" w:rsidR="008E78F9" w:rsidRDefault="008E78F9" w:rsidP="008E78F9">
      <w:pPr>
        <w:pStyle w:val="ListParagraph"/>
        <w:ind w:left="1080"/>
      </w:pPr>
    </w:p>
    <w:p w14:paraId="36D2A07B" w14:textId="7F4FE938" w:rsidR="008E78F9" w:rsidRDefault="008E78F9" w:rsidP="0093688F">
      <w:pPr>
        <w:pStyle w:val="ListParagraph"/>
        <w:numPr>
          <w:ilvl w:val="0"/>
          <w:numId w:val="32"/>
        </w:numPr>
      </w:pPr>
      <w:r>
        <w:t>Emissions of NO</w:t>
      </w:r>
      <w:r w:rsidRPr="002F2F3B">
        <w:rPr>
          <w:vertAlign w:val="subscript"/>
        </w:rPr>
        <w:t>x</w:t>
      </w:r>
      <w:r>
        <w:t xml:space="preserve"> from Cogen Boilers #6 and #7 shall each not exceed 0.15 lb</w:t>
      </w:r>
      <w:r w:rsidR="002F2F3B">
        <w:t>/</w:t>
      </w:r>
      <w:r>
        <w:t xml:space="preserve">MMBtu on a </w:t>
      </w:r>
      <w:r w:rsidR="009D034B">
        <w:t>one-</w:t>
      </w:r>
      <w:r>
        <w:t>hour basis</w:t>
      </w:r>
      <w:r w:rsidR="002F2F3B">
        <w:t xml:space="preserve"> when firing only natural gas</w:t>
      </w:r>
      <w:r>
        <w:t>. [06-096 C.M.R. ch. 115, BPT]</w:t>
      </w:r>
    </w:p>
    <w:p w14:paraId="55A5DA18" w14:textId="77777777" w:rsidR="002F2F3B" w:rsidRDefault="002F2F3B" w:rsidP="002F2F3B">
      <w:pPr>
        <w:pStyle w:val="ListParagraph"/>
        <w:ind w:left="1080"/>
      </w:pPr>
    </w:p>
    <w:p w14:paraId="37B6392F" w14:textId="37B3098C" w:rsidR="002F2F3B" w:rsidRDefault="002F2F3B" w:rsidP="002F2F3B">
      <w:pPr>
        <w:pStyle w:val="ListParagraph"/>
        <w:ind w:left="1080"/>
      </w:pPr>
      <w:r>
        <w:t>Note: This emission limit does not supersede any emission limit or averaging period as found in the facility’s Part 70 operating license.</w:t>
      </w:r>
    </w:p>
    <w:p w14:paraId="4FB8DB0A" w14:textId="77777777" w:rsidR="003972E5" w:rsidRDefault="003972E5" w:rsidP="00AC1BCD"/>
    <w:p w14:paraId="06CE8219" w14:textId="0053B3A7" w:rsidR="00DE1A93" w:rsidRPr="002022B2" w:rsidRDefault="00DE1A93" w:rsidP="00AC1BCD">
      <w:pPr>
        <w:pStyle w:val="Condition"/>
        <w:rPr>
          <w:b w:val="0"/>
        </w:rPr>
      </w:pPr>
      <w:r w:rsidRPr="002022B2">
        <w:rPr>
          <w:b w:val="0"/>
        </w:rPr>
        <w:t>Approval to construct shall become invalid if the source has not commenced construction within eighteen (18) months after receipt of such approval or if construction is discontinued for a period of eighteen (18) months or more. The Department may extend this time period upon a satisfactory showing that an extension is justified but may condition such extension upon a review of either the control technology analysis or the ambient air quality standards analysis, or both. [06-096 C.M.R. ch. 115]</w:t>
      </w:r>
    </w:p>
    <w:p w14:paraId="15F0659D" w14:textId="64646053" w:rsidR="008E78F9" w:rsidRDefault="008E78F9">
      <w:pPr>
        <w:jc w:val="left"/>
        <w:rPr>
          <w:rFonts w:eastAsiaTheme="majorEastAsia"/>
          <w:bCs/>
          <w:iCs/>
          <w:szCs w:val="26"/>
        </w:rPr>
      </w:pPr>
    </w:p>
    <w:p w14:paraId="51DD8010" w14:textId="77777777" w:rsidR="007E7F1F" w:rsidRDefault="007E7F1F">
      <w:pPr>
        <w:jc w:val="left"/>
        <w:rPr>
          <w:rFonts w:eastAsiaTheme="majorEastAsia"/>
          <w:bCs/>
          <w:iCs/>
          <w:szCs w:val="26"/>
        </w:rPr>
      </w:pPr>
      <w:r>
        <w:rPr>
          <w:b/>
          <w:bCs/>
          <w:iCs/>
        </w:rPr>
        <w:br w:type="page"/>
      </w:r>
    </w:p>
    <w:p w14:paraId="2F36BAD2" w14:textId="45104739" w:rsidR="0086564D" w:rsidRPr="004C5008" w:rsidRDefault="004C5008" w:rsidP="00AC1BCD">
      <w:pPr>
        <w:pStyle w:val="Condition"/>
        <w:rPr>
          <w:b w:val="0"/>
          <w:bCs/>
        </w:rPr>
      </w:pPr>
      <w:r w:rsidRPr="004C5008">
        <w:rPr>
          <w:b w:val="0"/>
          <w:bCs/>
          <w:iCs/>
        </w:rPr>
        <w:lastRenderedPageBreak/>
        <w:t>NDP</w:t>
      </w:r>
      <w:r w:rsidR="0086564D" w:rsidRPr="004C5008">
        <w:rPr>
          <w:b w:val="0"/>
          <w:bCs/>
        </w:rPr>
        <w:t xml:space="preserve"> shall submit an application to incorporate this </w:t>
      </w:r>
      <w:r w:rsidR="003009E1" w:rsidRPr="004C5008">
        <w:rPr>
          <w:b w:val="0"/>
          <w:bCs/>
        </w:rPr>
        <w:t>NSR license</w:t>
      </w:r>
      <w:r w:rsidR="00A9415B" w:rsidRPr="004C5008">
        <w:rPr>
          <w:b w:val="0"/>
          <w:bCs/>
        </w:rPr>
        <w:t xml:space="preserve"> </w:t>
      </w:r>
      <w:r w:rsidR="0086564D" w:rsidRPr="004C5008">
        <w:rPr>
          <w:b w:val="0"/>
          <w:bCs/>
        </w:rPr>
        <w:t xml:space="preserve">into the </w:t>
      </w:r>
      <w:r w:rsidR="003009E1" w:rsidRPr="004C5008">
        <w:rPr>
          <w:b w:val="0"/>
          <w:bCs/>
        </w:rPr>
        <w:t xml:space="preserve">facility’s </w:t>
      </w:r>
      <w:r w:rsidR="0086564D" w:rsidRPr="004C5008">
        <w:rPr>
          <w:b w:val="0"/>
          <w:bCs/>
        </w:rPr>
        <w:t>Part 70 air emission license no later than 12 months from commencement of the requested operation.  [06-096 C</w:t>
      </w:r>
      <w:r w:rsidR="008D5893" w:rsidRPr="004C5008">
        <w:rPr>
          <w:b w:val="0"/>
          <w:bCs/>
        </w:rPr>
        <w:t>.</w:t>
      </w:r>
      <w:r w:rsidR="0086564D" w:rsidRPr="004C5008">
        <w:rPr>
          <w:b w:val="0"/>
          <w:bCs/>
        </w:rPr>
        <w:t>M</w:t>
      </w:r>
      <w:r w:rsidR="008D5893" w:rsidRPr="004C5008">
        <w:rPr>
          <w:b w:val="0"/>
          <w:bCs/>
        </w:rPr>
        <w:t>.</w:t>
      </w:r>
      <w:r w:rsidR="0086564D" w:rsidRPr="004C5008">
        <w:rPr>
          <w:b w:val="0"/>
          <w:bCs/>
        </w:rPr>
        <w:t>R</w:t>
      </w:r>
      <w:r w:rsidR="008D5893" w:rsidRPr="004C5008">
        <w:rPr>
          <w:b w:val="0"/>
          <w:bCs/>
        </w:rPr>
        <w:t xml:space="preserve">. ch. 140 § </w:t>
      </w:r>
      <w:r w:rsidR="00617CCA" w:rsidRPr="004C5008">
        <w:rPr>
          <w:b w:val="0"/>
          <w:bCs/>
        </w:rPr>
        <w:t>1(C</w:t>
      </w:r>
      <w:r w:rsidR="0086564D" w:rsidRPr="004C5008">
        <w:rPr>
          <w:b w:val="0"/>
          <w:bCs/>
        </w:rPr>
        <w:t>)</w:t>
      </w:r>
      <w:r w:rsidR="00617CCA" w:rsidRPr="004C5008">
        <w:rPr>
          <w:b w:val="0"/>
          <w:bCs/>
        </w:rPr>
        <w:t>(8)</w:t>
      </w:r>
      <w:r w:rsidR="0086564D" w:rsidRPr="004C5008">
        <w:rPr>
          <w:b w:val="0"/>
          <w:bCs/>
        </w:rPr>
        <w:t>]</w:t>
      </w:r>
    </w:p>
    <w:p w14:paraId="45DD6C35" w14:textId="6709088C" w:rsidR="00793874" w:rsidRPr="004C5008" w:rsidRDefault="00F21AF8" w:rsidP="00AC1BCD">
      <w:pPr>
        <w:rPr>
          <w:bCs/>
        </w:rPr>
      </w:pPr>
      <w:r>
        <w:rPr>
          <w:noProof/>
          <w:sz w:val="20"/>
          <w:u w:val="single"/>
        </w:rPr>
        <w:drawing>
          <wp:anchor distT="0" distB="0" distL="114300" distR="114300" simplePos="0" relativeHeight="251658240" behindDoc="1" locked="0" layoutInCell="1" allowOverlap="1" wp14:anchorId="57170833" wp14:editId="0F275155">
            <wp:simplePos x="0" y="0"/>
            <wp:positionH relativeFrom="column">
              <wp:posOffset>219075</wp:posOffset>
            </wp:positionH>
            <wp:positionV relativeFrom="paragraph">
              <wp:posOffset>179070</wp:posOffset>
            </wp:positionV>
            <wp:extent cx="3543300" cy="1781175"/>
            <wp:effectExtent l="0" t="0" r="0" b="9525"/>
            <wp:wrapNone/>
            <wp:docPr id="1515528651"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28651" name="Picture 1" descr="Signature&#10;"/>
                    <pic:cNvPicPr/>
                  </pic:nvPicPr>
                  <pic:blipFill>
                    <a:blip r:embed="rId8">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p>
    <w:p w14:paraId="5A8D17BA" w14:textId="05D1AAC6" w:rsidR="00793874" w:rsidRPr="00165946" w:rsidRDefault="00793874" w:rsidP="00AC1BCD">
      <w:pPr>
        <w:rPr>
          <w:sz w:val="20"/>
        </w:rPr>
      </w:pPr>
      <w:r w:rsidRPr="00165946">
        <w:rPr>
          <w:sz w:val="20"/>
        </w:rPr>
        <w:t xml:space="preserve">DONE AND DATED IN AUGUSTA, MAINE THIS </w:t>
      </w:r>
      <w:r w:rsidR="00F21AF8">
        <w:rPr>
          <w:sz w:val="28"/>
          <w:szCs w:val="28"/>
        </w:rPr>
        <w:t>10</w:t>
      </w:r>
      <w:r w:rsidR="00F21AF8" w:rsidRPr="00F21AF8">
        <w:rPr>
          <w:sz w:val="28"/>
          <w:szCs w:val="28"/>
          <w:vertAlign w:val="superscript"/>
        </w:rPr>
        <w:t>th</w:t>
      </w:r>
      <w:r w:rsidR="00F21AF8">
        <w:rPr>
          <w:sz w:val="28"/>
          <w:szCs w:val="28"/>
        </w:rPr>
        <w:t xml:space="preserve"> </w:t>
      </w:r>
      <w:r w:rsidRPr="00165946">
        <w:rPr>
          <w:sz w:val="20"/>
        </w:rPr>
        <w:t xml:space="preserve">DAY OF </w:t>
      </w:r>
      <w:r w:rsidR="00F21AF8">
        <w:rPr>
          <w:sz w:val="28"/>
          <w:szCs w:val="28"/>
        </w:rPr>
        <w:t>APRIL</w:t>
      </w:r>
      <w:r w:rsidR="00823A47">
        <w:rPr>
          <w:sz w:val="28"/>
          <w:szCs w:val="28"/>
        </w:rPr>
        <w:t xml:space="preserve">, </w:t>
      </w:r>
      <w:r w:rsidR="00AB0FEA">
        <w:rPr>
          <w:sz w:val="28"/>
          <w:szCs w:val="28"/>
        </w:rPr>
        <w:t>2026</w:t>
      </w:r>
      <w:r w:rsidRPr="00165946">
        <w:rPr>
          <w:sz w:val="20"/>
        </w:rPr>
        <w:t>.</w:t>
      </w:r>
    </w:p>
    <w:p w14:paraId="71D418AD" w14:textId="77777777" w:rsidR="00793874" w:rsidRPr="00165946" w:rsidRDefault="00793874" w:rsidP="00AC1BCD">
      <w:pPr>
        <w:rPr>
          <w:sz w:val="20"/>
        </w:rPr>
      </w:pPr>
    </w:p>
    <w:p w14:paraId="70C3AA71" w14:textId="77777777" w:rsidR="00793874" w:rsidRPr="00165946" w:rsidRDefault="00793874" w:rsidP="00AC1BCD">
      <w:pPr>
        <w:rPr>
          <w:sz w:val="20"/>
        </w:rPr>
      </w:pPr>
      <w:r w:rsidRPr="00165946">
        <w:rPr>
          <w:sz w:val="20"/>
        </w:rPr>
        <w:t>DEPARTMENT OF ENVIRONMENTAL PROTECTION</w:t>
      </w:r>
    </w:p>
    <w:p w14:paraId="1D6EAC29" w14:textId="4C6B42E7" w:rsidR="00793874" w:rsidRPr="00165946" w:rsidRDefault="00793874" w:rsidP="00AC1BCD">
      <w:pPr>
        <w:rPr>
          <w:sz w:val="20"/>
        </w:rPr>
      </w:pPr>
    </w:p>
    <w:p w14:paraId="39CF6528" w14:textId="77777777" w:rsidR="00793874" w:rsidRPr="00165946" w:rsidRDefault="00793874" w:rsidP="00AC1BCD">
      <w:pPr>
        <w:rPr>
          <w:sz w:val="20"/>
        </w:rPr>
      </w:pPr>
    </w:p>
    <w:p w14:paraId="64687536" w14:textId="513E888A" w:rsidR="00793874" w:rsidRPr="00823A47" w:rsidRDefault="00793874" w:rsidP="00AC1BCD">
      <w:pPr>
        <w:rPr>
          <w:sz w:val="20"/>
          <w:u w:val="single"/>
        </w:rPr>
      </w:pPr>
      <w:r w:rsidRPr="00165946">
        <w:rPr>
          <w:sz w:val="20"/>
        </w:rPr>
        <w:t>BY:</w:t>
      </w:r>
      <w:r w:rsidR="00823A47">
        <w:rPr>
          <w:sz w:val="20"/>
          <w:u w:val="single"/>
        </w:rPr>
        <w:tab/>
      </w:r>
      <w:r w:rsidR="00823A47">
        <w:rPr>
          <w:sz w:val="20"/>
          <w:u w:val="single"/>
        </w:rPr>
        <w:tab/>
      </w:r>
      <w:r w:rsidR="00823A47">
        <w:rPr>
          <w:sz w:val="20"/>
          <w:u w:val="single"/>
        </w:rPr>
        <w:tab/>
      </w:r>
      <w:r w:rsidR="00823A47">
        <w:rPr>
          <w:sz w:val="20"/>
          <w:u w:val="single"/>
        </w:rPr>
        <w:tab/>
      </w:r>
      <w:r w:rsidR="00823A47">
        <w:rPr>
          <w:sz w:val="20"/>
          <w:u w:val="single"/>
        </w:rPr>
        <w:tab/>
      </w:r>
      <w:r w:rsidR="00823A47">
        <w:rPr>
          <w:sz w:val="20"/>
          <w:u w:val="single"/>
        </w:rPr>
        <w:tab/>
      </w:r>
      <w:r w:rsidR="00823A47">
        <w:rPr>
          <w:sz w:val="20"/>
          <w:u w:val="single"/>
        </w:rPr>
        <w:tab/>
        <w:t>for</w:t>
      </w:r>
      <w:r w:rsidR="00823A47">
        <w:rPr>
          <w:sz w:val="20"/>
          <w:u w:val="single"/>
        </w:rPr>
        <w:tab/>
      </w:r>
    </w:p>
    <w:p w14:paraId="166595FA" w14:textId="77777777" w:rsidR="009C082D" w:rsidRPr="00165946" w:rsidRDefault="009C082D" w:rsidP="00AC1BCD">
      <w:pPr>
        <w:rPr>
          <w:sz w:val="20"/>
        </w:rPr>
      </w:pPr>
      <w:r w:rsidRPr="00165946">
        <w:rPr>
          <w:sz w:val="20"/>
        </w:rPr>
        <w:tab/>
      </w:r>
      <w:r w:rsidR="003E6336">
        <w:rPr>
          <w:snapToGrid w:val="0"/>
          <w:sz w:val="20"/>
        </w:rPr>
        <w:t>MELANIE LOYZIM</w:t>
      </w:r>
      <w:r w:rsidRPr="00165946">
        <w:rPr>
          <w:snapToGrid w:val="0"/>
          <w:sz w:val="20"/>
        </w:rPr>
        <w:t>,</w:t>
      </w:r>
      <w:r w:rsidR="003E6336">
        <w:rPr>
          <w:snapToGrid w:val="0"/>
          <w:sz w:val="20"/>
        </w:rPr>
        <w:t xml:space="preserve"> </w:t>
      </w:r>
      <w:r w:rsidRPr="00165946">
        <w:rPr>
          <w:snapToGrid w:val="0"/>
          <w:sz w:val="20"/>
        </w:rPr>
        <w:t>COMMISSIONER</w:t>
      </w:r>
    </w:p>
    <w:p w14:paraId="523746E0" w14:textId="77777777" w:rsidR="00793874" w:rsidRPr="003009E1" w:rsidRDefault="00793874" w:rsidP="00AC1BCD"/>
    <w:p w14:paraId="2DA6DBEA" w14:textId="77777777" w:rsidR="00793874" w:rsidRPr="003009E1" w:rsidRDefault="00793874" w:rsidP="00AC1BCD">
      <w:pPr>
        <w:jc w:val="center"/>
      </w:pPr>
      <w:r w:rsidRPr="003009E1">
        <w:rPr>
          <w:sz w:val="22"/>
        </w:rPr>
        <w:t>PLEASE NOTE ATTACHED SHEET FOR GUIDANCE ON APPEAL PROCEDURES</w:t>
      </w:r>
    </w:p>
    <w:p w14:paraId="754F5FFE" w14:textId="77777777" w:rsidR="00793874" w:rsidRPr="003009E1" w:rsidRDefault="00793874" w:rsidP="00AC1BCD"/>
    <w:p w14:paraId="01229820" w14:textId="48F4E44D" w:rsidR="00793874" w:rsidRPr="003009E1" w:rsidRDefault="00793874" w:rsidP="00AC1BCD">
      <w:pPr>
        <w:rPr>
          <w:u w:val="single"/>
        </w:rPr>
      </w:pPr>
      <w:r w:rsidRPr="003009E1">
        <w:t>Date of initial receipt of application:</w:t>
      </w:r>
      <w:r w:rsidRPr="003009E1">
        <w:rPr>
          <w:u w:val="single"/>
        </w:rPr>
        <w:tab/>
      </w:r>
      <w:r w:rsidR="00A34E9C">
        <w:rPr>
          <w:u w:val="single"/>
        </w:rPr>
        <w:t>11/17/25</w:t>
      </w:r>
    </w:p>
    <w:p w14:paraId="2732B90D" w14:textId="7175A2D6" w:rsidR="003009E1" w:rsidRPr="003009E1" w:rsidRDefault="00793874" w:rsidP="00AC1BCD">
      <w:pPr>
        <w:rPr>
          <w:u w:val="single"/>
        </w:rPr>
      </w:pPr>
      <w:r w:rsidRPr="003009E1">
        <w:t>Date of application acceptance</w:t>
      </w:r>
      <w:r w:rsidR="003009E1" w:rsidRPr="003009E1">
        <w:t>:</w:t>
      </w:r>
      <w:r w:rsidR="003009E1" w:rsidRPr="003009E1">
        <w:rPr>
          <w:u w:val="single"/>
        </w:rPr>
        <w:tab/>
      </w:r>
      <w:r w:rsidR="00A34E9C">
        <w:rPr>
          <w:u w:val="single"/>
        </w:rPr>
        <w:t>11/25/25</w:t>
      </w:r>
    </w:p>
    <w:p w14:paraId="5FF1EEC1" w14:textId="77777777" w:rsidR="00793874" w:rsidRPr="003009E1" w:rsidRDefault="00793874" w:rsidP="00AC1BCD"/>
    <w:p w14:paraId="5F614EF2" w14:textId="0B2761F8" w:rsidR="00793874" w:rsidRPr="00165946" w:rsidRDefault="00793874" w:rsidP="00AC1BCD">
      <w:pPr>
        <w:rPr>
          <w:sz w:val="20"/>
        </w:rPr>
      </w:pPr>
      <w:r w:rsidRPr="00165946">
        <w:rPr>
          <w:sz w:val="20"/>
        </w:rPr>
        <w:t>This Order prepared by</w:t>
      </w:r>
      <w:r w:rsidR="009D6431" w:rsidRPr="00165946">
        <w:rPr>
          <w:sz w:val="20"/>
        </w:rPr>
        <w:t xml:space="preserve"> </w:t>
      </w:r>
      <w:r w:rsidR="00507B95">
        <w:rPr>
          <w:bCs/>
          <w:iCs/>
          <w:sz w:val="20"/>
        </w:rPr>
        <w:t>Chris Ham</w:t>
      </w:r>
      <w:r w:rsidRPr="00165946">
        <w:rPr>
          <w:sz w:val="20"/>
        </w:rPr>
        <w:t>, Bureau of Air Quality.</w:t>
      </w:r>
    </w:p>
    <w:sectPr w:rsidR="00793874" w:rsidRPr="00165946" w:rsidSect="00A80501">
      <w:headerReference w:type="default" r:id="rId9"/>
      <w:headerReference w:type="first" r:id="rId10"/>
      <w:pgSz w:w="12240" w:h="15840" w:code="1"/>
      <w:pgMar w:top="1440" w:right="1440" w:bottom="1440" w:left="1440" w:header="720" w:footer="389" w:gutter="0"/>
      <w:paperSrc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79993" w14:textId="77777777" w:rsidR="00B53B16" w:rsidRDefault="00B53B16">
      <w:r>
        <w:separator/>
      </w:r>
    </w:p>
  </w:endnote>
  <w:endnote w:type="continuationSeparator" w:id="0">
    <w:p w14:paraId="5E303C86" w14:textId="77777777" w:rsidR="00B53B16" w:rsidRDefault="00B5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4834" w14:textId="77777777" w:rsidR="00B53B16" w:rsidRDefault="00B53B16">
      <w:r>
        <w:separator/>
      </w:r>
    </w:p>
  </w:footnote>
  <w:footnote w:type="continuationSeparator" w:id="0">
    <w:p w14:paraId="66372B6A" w14:textId="77777777" w:rsidR="00B53B16" w:rsidRDefault="00B53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Layout w:type="fixed"/>
      <w:tblLook w:val="0000" w:firstRow="0" w:lastRow="0" w:firstColumn="0" w:lastColumn="0" w:noHBand="0" w:noVBand="0"/>
    </w:tblPr>
    <w:tblGrid>
      <w:gridCol w:w="4158"/>
      <w:gridCol w:w="720"/>
      <w:gridCol w:w="180"/>
      <w:gridCol w:w="540"/>
      <w:gridCol w:w="3870"/>
    </w:tblGrid>
    <w:tr w:rsidR="002412C0" w14:paraId="27608C4C" w14:textId="77777777" w:rsidTr="002412C0">
      <w:tc>
        <w:tcPr>
          <w:tcW w:w="4158" w:type="dxa"/>
        </w:tcPr>
        <w:p w14:paraId="72E05769" w14:textId="4E90B060" w:rsidR="002412C0" w:rsidRDefault="002412C0" w:rsidP="002412C0">
          <w:pPr>
            <w:rPr>
              <w:b/>
            </w:rPr>
          </w:pPr>
          <w:r>
            <w:rPr>
              <w:b/>
            </w:rPr>
            <w:t>ND Paper Inc.</w:t>
          </w:r>
        </w:p>
      </w:tc>
      <w:tc>
        <w:tcPr>
          <w:tcW w:w="720" w:type="dxa"/>
          <w:tcBorders>
            <w:right w:val="single" w:sz="4" w:space="0" w:color="auto"/>
          </w:tcBorders>
        </w:tcPr>
        <w:p w14:paraId="2386436B" w14:textId="77777777" w:rsidR="002412C0" w:rsidRDefault="002412C0" w:rsidP="002412C0">
          <w:pPr>
            <w:jc w:val="center"/>
            <w:rPr>
              <w:b/>
            </w:rPr>
          </w:pPr>
        </w:p>
      </w:tc>
      <w:tc>
        <w:tcPr>
          <w:tcW w:w="720" w:type="dxa"/>
          <w:gridSpan w:val="2"/>
          <w:tcBorders>
            <w:left w:val="nil"/>
          </w:tcBorders>
        </w:tcPr>
        <w:p w14:paraId="70D5257A" w14:textId="77777777" w:rsidR="002412C0" w:rsidRDefault="002412C0" w:rsidP="002412C0">
          <w:pPr>
            <w:jc w:val="center"/>
            <w:rPr>
              <w:b/>
            </w:rPr>
          </w:pPr>
        </w:p>
      </w:tc>
      <w:tc>
        <w:tcPr>
          <w:tcW w:w="3870" w:type="dxa"/>
        </w:tcPr>
        <w:p w14:paraId="3C0BAFB5" w14:textId="77777777" w:rsidR="002412C0" w:rsidRDefault="002412C0" w:rsidP="002412C0">
          <w:pPr>
            <w:jc w:val="center"/>
            <w:rPr>
              <w:b/>
            </w:rPr>
          </w:pPr>
          <w:r>
            <w:rPr>
              <w:b/>
            </w:rPr>
            <w:t>Departmental</w:t>
          </w:r>
        </w:p>
      </w:tc>
    </w:tr>
    <w:tr w:rsidR="002412C0" w14:paraId="3EB4B22C" w14:textId="77777777" w:rsidTr="002412C0">
      <w:tc>
        <w:tcPr>
          <w:tcW w:w="4158" w:type="dxa"/>
        </w:tcPr>
        <w:p w14:paraId="3DF2F569" w14:textId="10662E2C" w:rsidR="002412C0" w:rsidRDefault="002412C0" w:rsidP="002412C0">
          <w:pPr>
            <w:rPr>
              <w:b/>
            </w:rPr>
          </w:pPr>
          <w:r>
            <w:rPr>
              <w:b/>
            </w:rPr>
            <w:t>Oxford County</w:t>
          </w:r>
        </w:p>
      </w:tc>
      <w:tc>
        <w:tcPr>
          <w:tcW w:w="720" w:type="dxa"/>
          <w:tcBorders>
            <w:right w:val="single" w:sz="4" w:space="0" w:color="auto"/>
          </w:tcBorders>
        </w:tcPr>
        <w:p w14:paraId="2CBD80A8" w14:textId="77777777" w:rsidR="002412C0" w:rsidRDefault="002412C0" w:rsidP="002412C0">
          <w:pPr>
            <w:jc w:val="center"/>
            <w:rPr>
              <w:b/>
            </w:rPr>
          </w:pPr>
        </w:p>
      </w:tc>
      <w:tc>
        <w:tcPr>
          <w:tcW w:w="720" w:type="dxa"/>
          <w:gridSpan w:val="2"/>
          <w:tcBorders>
            <w:left w:val="nil"/>
          </w:tcBorders>
        </w:tcPr>
        <w:p w14:paraId="7CFD79C1" w14:textId="77777777" w:rsidR="002412C0" w:rsidRDefault="002412C0" w:rsidP="002412C0">
          <w:pPr>
            <w:jc w:val="center"/>
            <w:rPr>
              <w:b/>
            </w:rPr>
          </w:pPr>
        </w:p>
      </w:tc>
      <w:tc>
        <w:tcPr>
          <w:tcW w:w="3870" w:type="dxa"/>
        </w:tcPr>
        <w:p w14:paraId="2334E151" w14:textId="77777777" w:rsidR="002412C0" w:rsidRDefault="002412C0" w:rsidP="002412C0">
          <w:pPr>
            <w:jc w:val="center"/>
            <w:rPr>
              <w:b/>
            </w:rPr>
          </w:pPr>
          <w:r>
            <w:rPr>
              <w:b/>
            </w:rPr>
            <w:t>Findings of Fact and Order</w:t>
          </w:r>
        </w:p>
      </w:tc>
    </w:tr>
    <w:tr w:rsidR="002412C0" w14:paraId="768A1C0F" w14:textId="77777777" w:rsidTr="002412C0">
      <w:tc>
        <w:tcPr>
          <w:tcW w:w="4158" w:type="dxa"/>
        </w:tcPr>
        <w:p w14:paraId="35242258" w14:textId="73A8F88D" w:rsidR="002412C0" w:rsidRDefault="002412C0" w:rsidP="002412C0">
          <w:pPr>
            <w:rPr>
              <w:b/>
            </w:rPr>
          </w:pPr>
          <w:r>
            <w:rPr>
              <w:b/>
            </w:rPr>
            <w:t>Rumford, Maine</w:t>
          </w:r>
        </w:p>
      </w:tc>
      <w:tc>
        <w:tcPr>
          <w:tcW w:w="720" w:type="dxa"/>
          <w:tcBorders>
            <w:right w:val="single" w:sz="4" w:space="0" w:color="auto"/>
          </w:tcBorders>
        </w:tcPr>
        <w:p w14:paraId="46465413" w14:textId="77777777" w:rsidR="002412C0" w:rsidRDefault="002412C0" w:rsidP="002412C0">
          <w:pPr>
            <w:jc w:val="center"/>
            <w:rPr>
              <w:b/>
            </w:rPr>
          </w:pPr>
        </w:p>
      </w:tc>
      <w:tc>
        <w:tcPr>
          <w:tcW w:w="720" w:type="dxa"/>
          <w:gridSpan w:val="2"/>
          <w:tcBorders>
            <w:left w:val="nil"/>
          </w:tcBorders>
        </w:tcPr>
        <w:p w14:paraId="13142908" w14:textId="77777777" w:rsidR="002412C0" w:rsidRDefault="002412C0" w:rsidP="002412C0">
          <w:pPr>
            <w:jc w:val="center"/>
            <w:rPr>
              <w:b/>
            </w:rPr>
          </w:pPr>
        </w:p>
      </w:tc>
      <w:tc>
        <w:tcPr>
          <w:tcW w:w="3870" w:type="dxa"/>
        </w:tcPr>
        <w:p w14:paraId="0776E05E" w14:textId="77777777" w:rsidR="002412C0" w:rsidRDefault="002412C0" w:rsidP="002412C0">
          <w:pPr>
            <w:jc w:val="center"/>
            <w:rPr>
              <w:b/>
            </w:rPr>
          </w:pPr>
          <w:r>
            <w:rPr>
              <w:b/>
            </w:rPr>
            <w:t>New Source Review</w:t>
          </w:r>
        </w:p>
      </w:tc>
    </w:tr>
    <w:tr w:rsidR="002412C0" w14:paraId="4F950044" w14:textId="77777777" w:rsidTr="002412C0">
      <w:tc>
        <w:tcPr>
          <w:tcW w:w="4158" w:type="dxa"/>
        </w:tcPr>
        <w:p w14:paraId="2B636835" w14:textId="19F30CF9" w:rsidR="002412C0" w:rsidRDefault="002412C0" w:rsidP="002412C0">
          <w:pPr>
            <w:rPr>
              <w:b/>
            </w:rPr>
          </w:pPr>
          <w:r>
            <w:rPr>
              <w:b/>
            </w:rPr>
            <w:t>A-214-77-21-A</w:t>
          </w:r>
        </w:p>
      </w:tc>
      <w:tc>
        <w:tcPr>
          <w:tcW w:w="900" w:type="dxa"/>
          <w:gridSpan w:val="2"/>
        </w:tcPr>
        <w:p w14:paraId="1FA17D5E" w14:textId="77777777" w:rsidR="002412C0" w:rsidRDefault="002412C0" w:rsidP="002412C0">
          <w:pPr>
            <w:jc w:val="right"/>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13</w:t>
          </w:r>
          <w:r>
            <w:rPr>
              <w:rStyle w:val="PageNumber"/>
              <w:b/>
            </w:rPr>
            <w:fldChar w:fldCharType="end"/>
          </w:r>
        </w:p>
      </w:tc>
      <w:tc>
        <w:tcPr>
          <w:tcW w:w="540" w:type="dxa"/>
        </w:tcPr>
        <w:p w14:paraId="115336E6" w14:textId="77777777" w:rsidR="002412C0" w:rsidRDefault="002412C0" w:rsidP="002412C0">
          <w:pPr>
            <w:jc w:val="center"/>
            <w:rPr>
              <w:b/>
            </w:rPr>
          </w:pPr>
        </w:p>
      </w:tc>
      <w:tc>
        <w:tcPr>
          <w:tcW w:w="3870" w:type="dxa"/>
        </w:tcPr>
        <w:p w14:paraId="406DCE6D" w14:textId="07CED511" w:rsidR="002412C0" w:rsidRDefault="002412C0" w:rsidP="002412C0">
          <w:pPr>
            <w:jc w:val="center"/>
            <w:rPr>
              <w:b/>
            </w:rPr>
          </w:pPr>
          <w:r>
            <w:rPr>
              <w:b/>
            </w:rPr>
            <w:t>NSR #21</w:t>
          </w:r>
        </w:p>
      </w:tc>
    </w:tr>
  </w:tbl>
  <w:p w14:paraId="22381449" w14:textId="77777777" w:rsidR="00BB77EF" w:rsidRDefault="00BB7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3527" w14:textId="77777777" w:rsidR="00BB77EF" w:rsidRDefault="00BB77EF" w:rsidP="0096590B">
    <w:pPr>
      <w:pStyle w:val="Header"/>
      <w:jc w:val="center"/>
      <w:rPr>
        <w:rFonts w:ascii="Arial" w:hAnsi="Arial" w:cs="Arial"/>
        <w:color w:val="0000FF"/>
        <w:sz w:val="16"/>
        <w:szCs w:val="16"/>
      </w:rPr>
    </w:pPr>
    <w:r>
      <w:rPr>
        <w:noProof/>
        <w:sz w:val="16"/>
        <w:szCs w:val="16"/>
      </w:rPr>
      <w:drawing>
        <wp:anchor distT="0" distB="0" distL="114300" distR="114300" simplePos="0" relativeHeight="251659264" behindDoc="0" locked="0" layoutInCell="1" allowOverlap="1" wp14:anchorId="286F6934" wp14:editId="5523B323">
          <wp:simplePos x="0" y="0"/>
          <wp:positionH relativeFrom="column">
            <wp:posOffset>-457200</wp:posOffset>
          </wp:positionH>
          <wp:positionV relativeFrom="paragraph">
            <wp:posOffset>0</wp:posOffset>
          </wp:positionV>
          <wp:extent cx="896620" cy="914400"/>
          <wp:effectExtent l="0" t="0" r="0" b="0"/>
          <wp:wrapSquare wrapText="bothSides"/>
          <wp:docPr id="3" name="Picture 3"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3C586" w14:textId="77777777" w:rsidR="00BB77EF" w:rsidRPr="00A836E9" w:rsidRDefault="00BB77EF" w:rsidP="0096590B">
    <w:pPr>
      <w:pStyle w:val="Header"/>
      <w:jc w:val="center"/>
      <w:rPr>
        <w:rFonts w:ascii="Arial" w:hAnsi="Arial" w:cs="Arial"/>
        <w:color w:val="0000FF"/>
        <w:sz w:val="16"/>
        <w:szCs w:val="16"/>
      </w:rPr>
    </w:pPr>
    <w:r w:rsidRPr="00A836E9">
      <w:rPr>
        <w:rFonts w:ascii="Arial" w:hAnsi="Arial" w:cs="Arial"/>
        <w:color w:val="0000FF"/>
        <w:sz w:val="16"/>
        <w:szCs w:val="16"/>
      </w:rPr>
      <w:t xml:space="preserve">STATE OF </w:t>
    </w:r>
    <w:smartTag w:uri="urn:schemas-microsoft-com:office:smarttags" w:element="place">
      <w:smartTag w:uri="urn:schemas-microsoft-com:office:smarttags" w:element="State">
        <w:r w:rsidRPr="00A836E9">
          <w:rPr>
            <w:rFonts w:ascii="Arial" w:hAnsi="Arial" w:cs="Arial"/>
            <w:color w:val="0000FF"/>
            <w:sz w:val="16"/>
            <w:szCs w:val="16"/>
          </w:rPr>
          <w:t>MAINE</w:t>
        </w:r>
      </w:smartTag>
    </w:smartTag>
  </w:p>
  <w:p w14:paraId="4A9D93E6" w14:textId="77777777" w:rsidR="00BB77EF" w:rsidRPr="00646EA6" w:rsidRDefault="00BB77EF" w:rsidP="0096590B">
    <w:pPr>
      <w:pStyle w:val="Header"/>
      <w:jc w:val="center"/>
      <w:rPr>
        <w:rFonts w:ascii="Arial" w:hAnsi="Arial" w:cs="Arial"/>
        <w:color w:val="0000FF"/>
        <w:sz w:val="20"/>
      </w:rPr>
    </w:pPr>
    <w:r w:rsidRPr="00646EA6">
      <w:rPr>
        <w:rFonts w:ascii="Arial" w:hAnsi="Arial" w:cs="Arial"/>
        <w:color w:val="0000FF"/>
        <w:sz w:val="20"/>
      </w:rPr>
      <w:t>DEPARTMENT OF ENVIRONMENTAL PROTECTION</w:t>
    </w:r>
  </w:p>
  <w:p w14:paraId="1A3FBFE4" w14:textId="77777777" w:rsidR="00BB77EF" w:rsidRPr="00A836E9" w:rsidRDefault="00BB77EF" w:rsidP="0096590B">
    <w:pPr>
      <w:pStyle w:val="Header"/>
      <w:tabs>
        <w:tab w:val="clear" w:pos="4320"/>
        <w:tab w:val="clear" w:pos="8640"/>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r>
    <w:smartTag w:uri="urn:schemas-microsoft-com:office:smarttags" w:element="place">
      <w:smartTag w:uri="urn:schemas-microsoft-com:office:smarttags" w:element="City">
        <w:r w:rsidRPr="00A836E9">
          <w:rPr>
            <w:rFonts w:ascii="Arial" w:hAnsi="Arial" w:cs="Arial"/>
            <w:color w:val="0000FF"/>
            <w:sz w:val="16"/>
            <w:szCs w:val="16"/>
          </w:rPr>
          <w:t>AUGUSTA</w:t>
        </w:r>
      </w:smartTag>
      <w:r w:rsidRPr="00A836E9">
        <w:rPr>
          <w:rFonts w:ascii="Arial" w:hAnsi="Arial" w:cs="Arial"/>
          <w:color w:val="0000FF"/>
          <w:sz w:val="16"/>
          <w:szCs w:val="16"/>
        </w:rPr>
        <w:t xml:space="preserve">, </w:t>
      </w:r>
      <w:smartTag w:uri="urn:schemas-microsoft-com:office:smarttags" w:element="State">
        <w:r w:rsidRPr="00A836E9">
          <w:rPr>
            <w:rFonts w:ascii="Arial" w:hAnsi="Arial" w:cs="Arial"/>
            <w:color w:val="0000FF"/>
            <w:sz w:val="16"/>
            <w:szCs w:val="16"/>
          </w:rPr>
          <w:t>MAINE</w:t>
        </w:r>
      </w:smartTag>
      <w:r w:rsidRPr="00A836E9">
        <w:rPr>
          <w:rFonts w:ascii="Arial" w:hAnsi="Arial" w:cs="Arial"/>
          <w:color w:val="0000FF"/>
          <w:sz w:val="16"/>
          <w:szCs w:val="16"/>
        </w:rPr>
        <w:t xml:space="preserve"> </w:t>
      </w:r>
      <w:smartTag w:uri="urn:schemas-microsoft-com:office:smarttags" w:element="PostalCode">
        <w:r w:rsidRPr="00A836E9">
          <w:rPr>
            <w:rFonts w:ascii="Arial" w:hAnsi="Arial" w:cs="Arial"/>
            <w:color w:val="0000FF"/>
            <w:sz w:val="16"/>
            <w:szCs w:val="16"/>
          </w:rPr>
          <w:t>04333-0017</w:t>
        </w:r>
      </w:smartTag>
    </w:smartTag>
  </w:p>
  <w:p w14:paraId="1AB13F6F" w14:textId="77777777" w:rsidR="00BB77EF" w:rsidRPr="00646EA6" w:rsidRDefault="00BB77EF" w:rsidP="0096590B">
    <w:pPr>
      <w:pStyle w:val="Header"/>
      <w:jc w:val="center"/>
      <w:rPr>
        <w:rFonts w:ascii="Arial" w:hAnsi="Arial" w:cs="Arial"/>
        <w:color w:val="0000FF"/>
        <w:sz w:val="20"/>
      </w:rPr>
    </w:pPr>
  </w:p>
  <w:p w14:paraId="1CDB423E" w14:textId="77777777" w:rsidR="00BB77EF" w:rsidRPr="00646EA6" w:rsidRDefault="00BB77EF" w:rsidP="0096590B">
    <w:pPr>
      <w:pStyle w:val="Header"/>
      <w:jc w:val="center"/>
      <w:rPr>
        <w:color w:val="0000FF"/>
        <w:sz w:val="20"/>
      </w:rPr>
    </w:pPr>
    <w:r w:rsidRPr="00646EA6">
      <w:rPr>
        <w:rFonts w:ascii="Arial" w:hAnsi="Arial" w:cs="Arial"/>
        <w:color w:val="0000FF"/>
        <w:sz w:val="20"/>
      </w:rPr>
      <w:t>DEPARTMENT ORDER</w:t>
    </w:r>
  </w:p>
  <w:p w14:paraId="228911DA" w14:textId="77777777" w:rsidR="00BB77EF" w:rsidRDefault="00BB77EF">
    <w:pPr>
      <w:pStyle w:val="Header"/>
    </w:pPr>
  </w:p>
  <w:p w14:paraId="7F7E9D0D" w14:textId="77777777" w:rsidR="00BB77EF" w:rsidRDefault="00BB77EF">
    <w:pPr>
      <w:pStyle w:val="Header"/>
    </w:pPr>
  </w:p>
  <w:tbl>
    <w:tblPr>
      <w:tblW w:w="0" w:type="auto"/>
      <w:tblLayout w:type="fixed"/>
      <w:tblLook w:val="0000" w:firstRow="0" w:lastRow="0" w:firstColumn="0" w:lastColumn="0" w:noHBand="0" w:noVBand="0"/>
    </w:tblPr>
    <w:tblGrid>
      <w:gridCol w:w="4158"/>
      <w:gridCol w:w="720"/>
      <w:gridCol w:w="720"/>
      <w:gridCol w:w="3870"/>
    </w:tblGrid>
    <w:tr w:rsidR="00BB77EF" w14:paraId="1242D5F1" w14:textId="77777777" w:rsidTr="008939D8">
      <w:tc>
        <w:tcPr>
          <w:tcW w:w="4158" w:type="dxa"/>
        </w:tcPr>
        <w:p w14:paraId="375BF927" w14:textId="11ED0B89" w:rsidR="00BB77EF" w:rsidRDefault="002412C0">
          <w:pPr>
            <w:rPr>
              <w:b/>
            </w:rPr>
          </w:pPr>
          <w:r>
            <w:rPr>
              <w:b/>
            </w:rPr>
            <w:t>ND Paper Inc.</w:t>
          </w:r>
        </w:p>
      </w:tc>
      <w:tc>
        <w:tcPr>
          <w:tcW w:w="720" w:type="dxa"/>
          <w:tcBorders>
            <w:right w:val="single" w:sz="4" w:space="0" w:color="auto"/>
          </w:tcBorders>
        </w:tcPr>
        <w:p w14:paraId="5E7229B4" w14:textId="77777777" w:rsidR="00BB77EF" w:rsidRDefault="00BB77EF">
          <w:pPr>
            <w:jc w:val="center"/>
            <w:rPr>
              <w:b/>
            </w:rPr>
          </w:pPr>
        </w:p>
      </w:tc>
      <w:tc>
        <w:tcPr>
          <w:tcW w:w="720" w:type="dxa"/>
          <w:tcBorders>
            <w:left w:val="nil"/>
          </w:tcBorders>
        </w:tcPr>
        <w:p w14:paraId="5CB6C4BE" w14:textId="77777777" w:rsidR="00BB77EF" w:rsidRDefault="00BB77EF">
          <w:pPr>
            <w:jc w:val="center"/>
            <w:rPr>
              <w:b/>
            </w:rPr>
          </w:pPr>
        </w:p>
      </w:tc>
      <w:tc>
        <w:tcPr>
          <w:tcW w:w="3870" w:type="dxa"/>
        </w:tcPr>
        <w:p w14:paraId="6AA68B81" w14:textId="77777777" w:rsidR="00BB77EF" w:rsidRDefault="00BB77EF">
          <w:pPr>
            <w:jc w:val="center"/>
            <w:rPr>
              <w:b/>
            </w:rPr>
          </w:pPr>
          <w:r>
            <w:rPr>
              <w:b/>
            </w:rPr>
            <w:t>Departmental</w:t>
          </w:r>
        </w:p>
      </w:tc>
    </w:tr>
    <w:tr w:rsidR="00BB77EF" w14:paraId="5F814D67" w14:textId="77777777" w:rsidTr="008939D8">
      <w:tc>
        <w:tcPr>
          <w:tcW w:w="4158" w:type="dxa"/>
        </w:tcPr>
        <w:p w14:paraId="29163E9E" w14:textId="503B0D9E" w:rsidR="00BB77EF" w:rsidRDefault="002412C0">
          <w:pPr>
            <w:rPr>
              <w:b/>
            </w:rPr>
          </w:pPr>
          <w:r>
            <w:rPr>
              <w:b/>
            </w:rPr>
            <w:t>Oxford</w:t>
          </w:r>
          <w:r w:rsidR="00BB77EF">
            <w:rPr>
              <w:b/>
            </w:rPr>
            <w:t xml:space="preserve"> County</w:t>
          </w:r>
        </w:p>
      </w:tc>
      <w:tc>
        <w:tcPr>
          <w:tcW w:w="720" w:type="dxa"/>
          <w:tcBorders>
            <w:right w:val="single" w:sz="4" w:space="0" w:color="auto"/>
          </w:tcBorders>
        </w:tcPr>
        <w:p w14:paraId="556CF27D" w14:textId="77777777" w:rsidR="00BB77EF" w:rsidRDefault="00BB77EF">
          <w:pPr>
            <w:jc w:val="center"/>
            <w:rPr>
              <w:b/>
            </w:rPr>
          </w:pPr>
        </w:p>
      </w:tc>
      <w:tc>
        <w:tcPr>
          <w:tcW w:w="720" w:type="dxa"/>
          <w:tcBorders>
            <w:left w:val="nil"/>
          </w:tcBorders>
        </w:tcPr>
        <w:p w14:paraId="4F9F7D00" w14:textId="77777777" w:rsidR="00BB77EF" w:rsidRDefault="00BB77EF">
          <w:pPr>
            <w:jc w:val="center"/>
            <w:rPr>
              <w:b/>
            </w:rPr>
          </w:pPr>
        </w:p>
      </w:tc>
      <w:tc>
        <w:tcPr>
          <w:tcW w:w="3870" w:type="dxa"/>
        </w:tcPr>
        <w:p w14:paraId="348B4FCD" w14:textId="77777777" w:rsidR="00BB77EF" w:rsidRDefault="00BB77EF">
          <w:pPr>
            <w:jc w:val="center"/>
            <w:rPr>
              <w:b/>
            </w:rPr>
          </w:pPr>
          <w:r>
            <w:rPr>
              <w:b/>
            </w:rPr>
            <w:t>Findings of Fact and Order</w:t>
          </w:r>
        </w:p>
      </w:tc>
    </w:tr>
    <w:tr w:rsidR="00BB77EF" w14:paraId="1CBA83DB" w14:textId="77777777" w:rsidTr="008939D8">
      <w:tc>
        <w:tcPr>
          <w:tcW w:w="4158" w:type="dxa"/>
        </w:tcPr>
        <w:p w14:paraId="7E8351C3" w14:textId="4D6AE9B8" w:rsidR="00BB77EF" w:rsidRDefault="002412C0">
          <w:pPr>
            <w:rPr>
              <w:b/>
            </w:rPr>
          </w:pPr>
          <w:r>
            <w:rPr>
              <w:b/>
            </w:rPr>
            <w:t>Rumford</w:t>
          </w:r>
          <w:r w:rsidR="00BB77EF">
            <w:rPr>
              <w:b/>
            </w:rPr>
            <w:t>, Maine</w:t>
          </w:r>
        </w:p>
      </w:tc>
      <w:tc>
        <w:tcPr>
          <w:tcW w:w="720" w:type="dxa"/>
          <w:tcBorders>
            <w:right w:val="single" w:sz="4" w:space="0" w:color="auto"/>
          </w:tcBorders>
        </w:tcPr>
        <w:p w14:paraId="0EE4B4E2" w14:textId="77777777" w:rsidR="00BB77EF" w:rsidRDefault="00BB77EF">
          <w:pPr>
            <w:jc w:val="center"/>
            <w:rPr>
              <w:b/>
            </w:rPr>
          </w:pPr>
        </w:p>
      </w:tc>
      <w:tc>
        <w:tcPr>
          <w:tcW w:w="720" w:type="dxa"/>
          <w:tcBorders>
            <w:left w:val="nil"/>
          </w:tcBorders>
        </w:tcPr>
        <w:p w14:paraId="76FBEC22" w14:textId="77777777" w:rsidR="00BB77EF" w:rsidRDefault="00BB77EF">
          <w:pPr>
            <w:jc w:val="center"/>
            <w:rPr>
              <w:b/>
            </w:rPr>
          </w:pPr>
        </w:p>
      </w:tc>
      <w:tc>
        <w:tcPr>
          <w:tcW w:w="3870" w:type="dxa"/>
        </w:tcPr>
        <w:p w14:paraId="399ED0BC" w14:textId="77777777" w:rsidR="00BB77EF" w:rsidRDefault="00BB77EF">
          <w:pPr>
            <w:jc w:val="center"/>
            <w:rPr>
              <w:b/>
            </w:rPr>
          </w:pPr>
          <w:r>
            <w:rPr>
              <w:b/>
            </w:rPr>
            <w:t>New Source Review</w:t>
          </w:r>
        </w:p>
      </w:tc>
    </w:tr>
    <w:tr w:rsidR="00BB77EF" w14:paraId="69ACE23C" w14:textId="77777777" w:rsidTr="008939D8">
      <w:tc>
        <w:tcPr>
          <w:tcW w:w="4158" w:type="dxa"/>
        </w:tcPr>
        <w:p w14:paraId="3A612DF1" w14:textId="1EEDD754" w:rsidR="00BB77EF" w:rsidRDefault="00BB77EF">
          <w:pPr>
            <w:rPr>
              <w:b/>
            </w:rPr>
          </w:pPr>
          <w:r>
            <w:rPr>
              <w:b/>
            </w:rPr>
            <w:t>A-</w:t>
          </w:r>
          <w:r w:rsidR="005E7E36">
            <w:rPr>
              <w:b/>
            </w:rPr>
            <w:t>214</w:t>
          </w:r>
          <w:r>
            <w:rPr>
              <w:b/>
            </w:rPr>
            <w:t>-</w:t>
          </w:r>
          <w:r w:rsidR="005E7E36">
            <w:rPr>
              <w:b/>
            </w:rPr>
            <w:t>77</w:t>
          </w:r>
          <w:r>
            <w:rPr>
              <w:b/>
            </w:rPr>
            <w:t>-</w:t>
          </w:r>
          <w:r w:rsidR="005E7E36">
            <w:rPr>
              <w:b/>
            </w:rPr>
            <w:t>21</w:t>
          </w:r>
          <w:r>
            <w:rPr>
              <w:b/>
            </w:rPr>
            <w:t>-</w:t>
          </w:r>
          <w:r w:rsidR="005E7E36">
            <w:rPr>
              <w:b/>
            </w:rPr>
            <w:t>A</w:t>
          </w:r>
        </w:p>
      </w:tc>
      <w:tc>
        <w:tcPr>
          <w:tcW w:w="720" w:type="dxa"/>
          <w:tcBorders>
            <w:right w:val="single" w:sz="4" w:space="0" w:color="auto"/>
          </w:tcBorders>
        </w:tcPr>
        <w:p w14:paraId="3D2C5808" w14:textId="77777777" w:rsidR="00BB77EF" w:rsidRDefault="00BB77EF">
          <w:pPr>
            <w:jc w:val="center"/>
            <w:rPr>
              <w:b/>
            </w:rPr>
          </w:pPr>
        </w:p>
      </w:tc>
      <w:tc>
        <w:tcPr>
          <w:tcW w:w="720" w:type="dxa"/>
          <w:tcBorders>
            <w:left w:val="nil"/>
          </w:tcBorders>
        </w:tcPr>
        <w:p w14:paraId="693A10CE" w14:textId="77777777" w:rsidR="00BB77EF" w:rsidRDefault="00BB77EF">
          <w:pPr>
            <w:jc w:val="center"/>
            <w:rPr>
              <w:b/>
            </w:rPr>
          </w:pPr>
        </w:p>
      </w:tc>
      <w:tc>
        <w:tcPr>
          <w:tcW w:w="3870" w:type="dxa"/>
        </w:tcPr>
        <w:p w14:paraId="73A3B03C" w14:textId="5A3857D8" w:rsidR="00BB77EF" w:rsidRDefault="00BB77EF">
          <w:pPr>
            <w:pStyle w:val="Heading1"/>
          </w:pPr>
          <w:r>
            <w:t>NSR #</w:t>
          </w:r>
          <w:r w:rsidR="005E7E36">
            <w:t xml:space="preserve"> 21</w:t>
          </w:r>
        </w:p>
      </w:tc>
    </w:tr>
  </w:tbl>
  <w:p w14:paraId="286FFC21" w14:textId="77777777" w:rsidR="00BB77EF" w:rsidRDefault="00BB7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911"/>
    <w:multiLevelType w:val="hybridMultilevel"/>
    <w:tmpl w:val="5146670A"/>
    <w:lvl w:ilvl="0" w:tplc="82FCA092">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A88"/>
    <w:multiLevelType w:val="hybridMultilevel"/>
    <w:tmpl w:val="A8486646"/>
    <w:lvl w:ilvl="0" w:tplc="AC3AAA9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B5890"/>
    <w:multiLevelType w:val="hybridMultilevel"/>
    <w:tmpl w:val="77CE7E76"/>
    <w:lvl w:ilvl="0" w:tplc="DC0434F2">
      <w:start w:val="1"/>
      <w:numFmt w:val="decimal"/>
      <w:pStyle w:val="Condition"/>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93879"/>
    <w:multiLevelType w:val="hybridMultilevel"/>
    <w:tmpl w:val="668094FE"/>
    <w:lvl w:ilvl="0" w:tplc="4E707194">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624E13"/>
    <w:multiLevelType w:val="hybridMultilevel"/>
    <w:tmpl w:val="ADA40F5C"/>
    <w:lvl w:ilvl="0" w:tplc="5746B3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2B3755"/>
    <w:multiLevelType w:val="hybridMultilevel"/>
    <w:tmpl w:val="E8022050"/>
    <w:lvl w:ilvl="0" w:tplc="88467F3E">
      <w:start w:val="1"/>
      <w:numFmt w:val="decimal"/>
      <w:lvlText w:val="%1."/>
      <w:lvlJc w:val="left"/>
      <w:pPr>
        <w:ind w:left="1440" w:hanging="360"/>
      </w:pPr>
      <w:rPr>
        <w:rFonts w:hint="default"/>
        <w:b w:val="0"/>
        <w:i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720320"/>
    <w:multiLevelType w:val="hybridMultilevel"/>
    <w:tmpl w:val="5E82319E"/>
    <w:lvl w:ilvl="0" w:tplc="ECEE1384">
      <w:start w:val="1"/>
      <w:numFmt w:val="lowerLetter"/>
      <w:lvlText w:val="%1."/>
      <w:lvlJc w:val="left"/>
      <w:pPr>
        <w:ind w:left="1440" w:hanging="360"/>
      </w:pPr>
      <w:rPr>
        <w:b w:val="0"/>
        <w:i w:val="0"/>
        <w:sz w:val="24"/>
        <w:szCs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4F54E3"/>
    <w:multiLevelType w:val="hybridMultilevel"/>
    <w:tmpl w:val="83E0D0A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8" w15:restartNumberingAfterBreak="0">
    <w:nsid w:val="2A220408"/>
    <w:multiLevelType w:val="hybridMultilevel"/>
    <w:tmpl w:val="4C26D660"/>
    <w:lvl w:ilvl="0" w:tplc="AC3AAA9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FD6493"/>
    <w:multiLevelType w:val="hybridMultilevel"/>
    <w:tmpl w:val="663CA9E0"/>
    <w:lvl w:ilvl="0" w:tplc="2500F8E8">
      <w:start w:val="3"/>
      <w:numFmt w:val="bullet"/>
      <w:lvlText w:val="-"/>
      <w:lvlJc w:val="left"/>
      <w:pPr>
        <w:ind w:left="1530" w:hanging="360"/>
      </w:pPr>
      <w:rPr>
        <w:rFont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0"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11"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916BF0"/>
    <w:multiLevelType w:val="singleLevel"/>
    <w:tmpl w:val="73085D64"/>
    <w:lvl w:ilvl="0">
      <w:start w:val="1"/>
      <w:numFmt w:val="upperLetter"/>
      <w:pStyle w:val="Heading8"/>
      <w:lvlText w:val="%1."/>
      <w:lvlJc w:val="left"/>
      <w:pPr>
        <w:tabs>
          <w:tab w:val="num" w:pos="720"/>
        </w:tabs>
        <w:ind w:left="720" w:hanging="720"/>
      </w:pPr>
      <w:rPr>
        <w:rFonts w:hint="default"/>
      </w:rPr>
    </w:lvl>
  </w:abstractNum>
  <w:abstractNum w:abstractNumId="13" w15:restartNumberingAfterBreak="0">
    <w:nsid w:val="329A6F29"/>
    <w:multiLevelType w:val="hybridMultilevel"/>
    <w:tmpl w:val="155231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D25BD1"/>
    <w:multiLevelType w:val="singleLevel"/>
    <w:tmpl w:val="945870C4"/>
    <w:lvl w:ilvl="0">
      <w:start w:val="1"/>
      <w:numFmt w:val="upperLetter"/>
      <w:lvlText w:val="%1."/>
      <w:lvlJc w:val="left"/>
      <w:pPr>
        <w:tabs>
          <w:tab w:val="num" w:pos="720"/>
        </w:tabs>
        <w:ind w:left="720" w:hanging="390"/>
      </w:pPr>
      <w:rPr>
        <w:b w:val="0"/>
        <w:i w:val="0"/>
        <w:u w:val="none"/>
      </w:rPr>
    </w:lvl>
  </w:abstractNum>
  <w:abstractNum w:abstractNumId="15" w15:restartNumberingAfterBreak="0">
    <w:nsid w:val="3728259D"/>
    <w:multiLevelType w:val="hybridMultilevel"/>
    <w:tmpl w:val="D0D28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CE2376"/>
    <w:multiLevelType w:val="hybridMultilevel"/>
    <w:tmpl w:val="243A4C76"/>
    <w:lvl w:ilvl="0" w:tplc="1378504A">
      <w:start w:val="1"/>
      <w:numFmt w:val="lowerLetter"/>
      <w:lvlText w:val="%1."/>
      <w:lvlJc w:val="left"/>
      <w:pPr>
        <w:ind w:left="1440" w:hanging="360"/>
      </w:pPr>
      <w:rPr>
        <w:sz w:val="24"/>
        <w:szCs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B03EA4"/>
    <w:multiLevelType w:val="hybridMultilevel"/>
    <w:tmpl w:val="ABC2E7C4"/>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47423B"/>
    <w:multiLevelType w:val="hybridMultilevel"/>
    <w:tmpl w:val="6474485E"/>
    <w:lvl w:ilvl="0" w:tplc="AC3AAA9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CB48B4"/>
    <w:multiLevelType w:val="hybridMultilevel"/>
    <w:tmpl w:val="CF545156"/>
    <w:lvl w:ilvl="0" w:tplc="FFFFFFFF">
      <w:start w:val="1"/>
      <w:numFmt w:val="lowerLetter"/>
      <w:lvlText w:val="%1."/>
      <w:lvlJc w:val="left"/>
      <w:pPr>
        <w:ind w:left="1440" w:hanging="360"/>
      </w:pPr>
      <w:rPr>
        <w:rFonts w:hint="default"/>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CC300FF"/>
    <w:multiLevelType w:val="hybridMultilevel"/>
    <w:tmpl w:val="AA7AA350"/>
    <w:lvl w:ilvl="0" w:tplc="A3FED6D8">
      <w:start w:val="1"/>
      <w:numFmt w:val="bullet"/>
      <w:lvlText w:val=""/>
      <w:lvlJc w:val="left"/>
      <w:pPr>
        <w:ind w:left="153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1" w15:restartNumberingAfterBreak="0">
    <w:nsid w:val="5E56645C"/>
    <w:multiLevelType w:val="hybridMultilevel"/>
    <w:tmpl w:val="CF545156"/>
    <w:lvl w:ilvl="0" w:tplc="467EBF64">
      <w:start w:val="1"/>
      <w:numFmt w:val="lowerLetter"/>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01417C2"/>
    <w:multiLevelType w:val="hybridMultilevel"/>
    <w:tmpl w:val="668094FE"/>
    <w:lvl w:ilvl="0" w:tplc="FFFFFFFF">
      <w:start w:val="1"/>
      <w:numFmt w:val="decimal"/>
      <w:lvlText w:val="%1."/>
      <w:lvlJc w:val="left"/>
      <w:pPr>
        <w:ind w:left="1080" w:hanging="360"/>
      </w:pPr>
      <w:rPr>
        <w:rFonts w:hint="default"/>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53E3BE6"/>
    <w:multiLevelType w:val="hybridMultilevel"/>
    <w:tmpl w:val="35DA6C34"/>
    <w:lvl w:ilvl="0" w:tplc="76DEBF2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68640F0C"/>
    <w:multiLevelType w:val="hybridMultilevel"/>
    <w:tmpl w:val="92345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32EF2"/>
    <w:multiLevelType w:val="singleLevel"/>
    <w:tmpl w:val="F0AC8082"/>
    <w:lvl w:ilvl="0">
      <w:start w:val="1"/>
      <w:numFmt w:val="upperRoman"/>
      <w:pStyle w:val="Heading5"/>
      <w:lvlText w:val="%1."/>
      <w:lvlJc w:val="left"/>
      <w:pPr>
        <w:tabs>
          <w:tab w:val="num" w:pos="720"/>
        </w:tabs>
        <w:ind w:left="720" w:hanging="720"/>
      </w:pPr>
      <w:rPr>
        <w:rFonts w:hint="default"/>
      </w:rPr>
    </w:lvl>
  </w:abstractNum>
  <w:abstractNum w:abstractNumId="26" w15:restartNumberingAfterBreak="0">
    <w:nsid w:val="6DCD230F"/>
    <w:multiLevelType w:val="hybridMultilevel"/>
    <w:tmpl w:val="0C020BDA"/>
    <w:lvl w:ilvl="0" w:tplc="AC3AAA9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D35A6A"/>
    <w:multiLevelType w:val="hybridMultilevel"/>
    <w:tmpl w:val="6474485E"/>
    <w:lvl w:ilvl="0" w:tplc="AC3AAA9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8533ED"/>
    <w:multiLevelType w:val="hybridMultilevel"/>
    <w:tmpl w:val="2F3C6D66"/>
    <w:lvl w:ilvl="0" w:tplc="685E68E8">
      <w:start w:val="1"/>
      <w:numFmt w:val="upperLetter"/>
      <w:pStyle w:val="Heading3"/>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004057">
    <w:abstractNumId w:val="25"/>
  </w:num>
  <w:num w:numId="2" w16cid:durableId="1657149843">
    <w:abstractNumId w:val="12"/>
  </w:num>
  <w:num w:numId="3" w16cid:durableId="2139449774">
    <w:abstractNumId w:val="14"/>
  </w:num>
  <w:num w:numId="4" w16cid:durableId="1927955442">
    <w:abstractNumId w:val="10"/>
  </w:num>
  <w:num w:numId="5" w16cid:durableId="1889609899">
    <w:abstractNumId w:val="26"/>
  </w:num>
  <w:num w:numId="6" w16cid:durableId="1172065792">
    <w:abstractNumId w:val="7"/>
  </w:num>
  <w:num w:numId="7" w16cid:durableId="985860236">
    <w:abstractNumId w:val="0"/>
  </w:num>
  <w:num w:numId="8" w16cid:durableId="1424107857">
    <w:abstractNumId w:val="0"/>
    <w:lvlOverride w:ilvl="0">
      <w:startOverride w:val="2"/>
    </w:lvlOverride>
  </w:num>
  <w:num w:numId="9" w16cid:durableId="1902325542">
    <w:abstractNumId w:val="28"/>
  </w:num>
  <w:num w:numId="10" w16cid:durableId="1793599356">
    <w:abstractNumId w:val="28"/>
    <w:lvlOverride w:ilvl="0">
      <w:startOverride w:val="1"/>
    </w:lvlOverride>
  </w:num>
  <w:num w:numId="11" w16cid:durableId="373820853">
    <w:abstractNumId w:val="23"/>
  </w:num>
  <w:num w:numId="12" w16cid:durableId="1505434968">
    <w:abstractNumId w:val="3"/>
  </w:num>
  <w:num w:numId="13" w16cid:durableId="901915714">
    <w:abstractNumId w:val="20"/>
  </w:num>
  <w:num w:numId="14" w16cid:durableId="380397292">
    <w:abstractNumId w:val="9"/>
  </w:num>
  <w:num w:numId="15" w16cid:durableId="989139543">
    <w:abstractNumId w:val="17"/>
  </w:num>
  <w:num w:numId="16" w16cid:durableId="257566566">
    <w:abstractNumId w:val="18"/>
  </w:num>
  <w:num w:numId="17" w16cid:durableId="632638500">
    <w:abstractNumId w:val="1"/>
  </w:num>
  <w:num w:numId="18" w16cid:durableId="904605102">
    <w:abstractNumId w:val="8"/>
  </w:num>
  <w:num w:numId="19" w16cid:durableId="18170018">
    <w:abstractNumId w:val="27"/>
  </w:num>
  <w:num w:numId="20" w16cid:durableId="1140459644">
    <w:abstractNumId w:val="11"/>
  </w:num>
  <w:num w:numId="21" w16cid:durableId="1132404121">
    <w:abstractNumId w:val="2"/>
  </w:num>
  <w:num w:numId="22" w16cid:durableId="913318188">
    <w:abstractNumId w:val="2"/>
    <w:lvlOverride w:ilvl="0">
      <w:startOverride w:val="5"/>
    </w:lvlOverride>
  </w:num>
  <w:num w:numId="23" w16cid:durableId="837042889">
    <w:abstractNumId w:val="13"/>
  </w:num>
  <w:num w:numId="24" w16cid:durableId="1749574751">
    <w:abstractNumId w:val="5"/>
  </w:num>
  <w:num w:numId="25" w16cid:durableId="9379348">
    <w:abstractNumId w:val="16"/>
  </w:num>
  <w:num w:numId="26" w16cid:durableId="1814323712">
    <w:abstractNumId w:val="6"/>
  </w:num>
  <w:num w:numId="27" w16cid:durableId="1872957401">
    <w:abstractNumId w:val="21"/>
  </w:num>
  <w:num w:numId="28" w16cid:durableId="314260563">
    <w:abstractNumId w:val="22"/>
  </w:num>
  <w:num w:numId="29" w16cid:durableId="1951735556">
    <w:abstractNumId w:val="19"/>
  </w:num>
  <w:num w:numId="30" w16cid:durableId="2082750479">
    <w:abstractNumId w:val="24"/>
  </w:num>
  <w:num w:numId="31" w16cid:durableId="775297668">
    <w:abstractNumId w:val="15"/>
  </w:num>
  <w:num w:numId="32" w16cid:durableId="65267916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ED"/>
    <w:rsid w:val="0000710B"/>
    <w:rsid w:val="0001637B"/>
    <w:rsid w:val="00020995"/>
    <w:rsid w:val="00024DF3"/>
    <w:rsid w:val="00047D0F"/>
    <w:rsid w:val="00050EEA"/>
    <w:rsid w:val="000633E3"/>
    <w:rsid w:val="00064F52"/>
    <w:rsid w:val="00073BFD"/>
    <w:rsid w:val="00075DB0"/>
    <w:rsid w:val="00076B33"/>
    <w:rsid w:val="00082832"/>
    <w:rsid w:val="000841DB"/>
    <w:rsid w:val="00093356"/>
    <w:rsid w:val="000935B0"/>
    <w:rsid w:val="0009617B"/>
    <w:rsid w:val="00096901"/>
    <w:rsid w:val="000A36BD"/>
    <w:rsid w:val="000B0449"/>
    <w:rsid w:val="000B076C"/>
    <w:rsid w:val="000B282D"/>
    <w:rsid w:val="000B459C"/>
    <w:rsid w:val="000C4418"/>
    <w:rsid w:val="000C7A4E"/>
    <w:rsid w:val="000E140D"/>
    <w:rsid w:val="000E7201"/>
    <w:rsid w:val="000F40C6"/>
    <w:rsid w:val="00100EC9"/>
    <w:rsid w:val="00106C38"/>
    <w:rsid w:val="00121AB2"/>
    <w:rsid w:val="00123471"/>
    <w:rsid w:val="001238C7"/>
    <w:rsid w:val="00130957"/>
    <w:rsid w:val="0013206E"/>
    <w:rsid w:val="00165946"/>
    <w:rsid w:val="00177EDF"/>
    <w:rsid w:val="00177F90"/>
    <w:rsid w:val="00186D72"/>
    <w:rsid w:val="00186DDA"/>
    <w:rsid w:val="001870B0"/>
    <w:rsid w:val="001925DD"/>
    <w:rsid w:val="001965E0"/>
    <w:rsid w:val="001A46CB"/>
    <w:rsid w:val="001B1CC8"/>
    <w:rsid w:val="001C0656"/>
    <w:rsid w:val="001C395D"/>
    <w:rsid w:val="001C3C74"/>
    <w:rsid w:val="001E441B"/>
    <w:rsid w:val="001F32C2"/>
    <w:rsid w:val="001F42EC"/>
    <w:rsid w:val="002022B2"/>
    <w:rsid w:val="00205476"/>
    <w:rsid w:val="002101F7"/>
    <w:rsid w:val="002149CD"/>
    <w:rsid w:val="0021512C"/>
    <w:rsid w:val="0022041F"/>
    <w:rsid w:val="002217F3"/>
    <w:rsid w:val="00225931"/>
    <w:rsid w:val="00227E3A"/>
    <w:rsid w:val="0023258F"/>
    <w:rsid w:val="0023491D"/>
    <w:rsid w:val="002412C0"/>
    <w:rsid w:val="00270166"/>
    <w:rsid w:val="002772D7"/>
    <w:rsid w:val="002775B1"/>
    <w:rsid w:val="002804A3"/>
    <w:rsid w:val="00283630"/>
    <w:rsid w:val="00295218"/>
    <w:rsid w:val="00297B5A"/>
    <w:rsid w:val="00297E69"/>
    <w:rsid w:val="002A01F6"/>
    <w:rsid w:val="002A0981"/>
    <w:rsid w:val="002B4602"/>
    <w:rsid w:val="002C22D0"/>
    <w:rsid w:val="002C63C2"/>
    <w:rsid w:val="002C7D4B"/>
    <w:rsid w:val="002E5998"/>
    <w:rsid w:val="002F2F3B"/>
    <w:rsid w:val="003009E1"/>
    <w:rsid w:val="0030524B"/>
    <w:rsid w:val="00307AA6"/>
    <w:rsid w:val="00311392"/>
    <w:rsid w:val="003119B2"/>
    <w:rsid w:val="003208E6"/>
    <w:rsid w:val="00333E06"/>
    <w:rsid w:val="00334757"/>
    <w:rsid w:val="0034566E"/>
    <w:rsid w:val="00347C7F"/>
    <w:rsid w:val="00363BB4"/>
    <w:rsid w:val="00366865"/>
    <w:rsid w:val="003674B9"/>
    <w:rsid w:val="003900D5"/>
    <w:rsid w:val="003972E5"/>
    <w:rsid w:val="003A0894"/>
    <w:rsid w:val="003A0E04"/>
    <w:rsid w:val="003A45DD"/>
    <w:rsid w:val="003B6013"/>
    <w:rsid w:val="003C29D4"/>
    <w:rsid w:val="003D17E7"/>
    <w:rsid w:val="003E6336"/>
    <w:rsid w:val="00410AB7"/>
    <w:rsid w:val="0041666A"/>
    <w:rsid w:val="00424CEB"/>
    <w:rsid w:val="00434BA5"/>
    <w:rsid w:val="0044277C"/>
    <w:rsid w:val="004559E8"/>
    <w:rsid w:val="00457BD7"/>
    <w:rsid w:val="00463790"/>
    <w:rsid w:val="00463CC5"/>
    <w:rsid w:val="00467D05"/>
    <w:rsid w:val="004735A4"/>
    <w:rsid w:val="00481249"/>
    <w:rsid w:val="004931F2"/>
    <w:rsid w:val="00496A52"/>
    <w:rsid w:val="004A02DD"/>
    <w:rsid w:val="004A4652"/>
    <w:rsid w:val="004B4B88"/>
    <w:rsid w:val="004B4FCB"/>
    <w:rsid w:val="004C5008"/>
    <w:rsid w:val="004C5777"/>
    <w:rsid w:val="004D040F"/>
    <w:rsid w:val="00500914"/>
    <w:rsid w:val="00501966"/>
    <w:rsid w:val="0050278C"/>
    <w:rsid w:val="00507B95"/>
    <w:rsid w:val="00515F3A"/>
    <w:rsid w:val="0052375B"/>
    <w:rsid w:val="005348D2"/>
    <w:rsid w:val="00540548"/>
    <w:rsid w:val="00557424"/>
    <w:rsid w:val="00561C1C"/>
    <w:rsid w:val="00562E27"/>
    <w:rsid w:val="00564535"/>
    <w:rsid w:val="0056642C"/>
    <w:rsid w:val="00572A96"/>
    <w:rsid w:val="00576499"/>
    <w:rsid w:val="0058028C"/>
    <w:rsid w:val="005878EA"/>
    <w:rsid w:val="00587D6A"/>
    <w:rsid w:val="005925D1"/>
    <w:rsid w:val="00593753"/>
    <w:rsid w:val="00594FC8"/>
    <w:rsid w:val="005B29C2"/>
    <w:rsid w:val="005B5DB7"/>
    <w:rsid w:val="005B5F73"/>
    <w:rsid w:val="005C3C7E"/>
    <w:rsid w:val="005D3466"/>
    <w:rsid w:val="005E3CA0"/>
    <w:rsid w:val="005E7E36"/>
    <w:rsid w:val="005F68BA"/>
    <w:rsid w:val="005F7311"/>
    <w:rsid w:val="006005C1"/>
    <w:rsid w:val="00606983"/>
    <w:rsid w:val="0061277C"/>
    <w:rsid w:val="00617CCA"/>
    <w:rsid w:val="00622676"/>
    <w:rsid w:val="00632A1B"/>
    <w:rsid w:val="00640431"/>
    <w:rsid w:val="00643384"/>
    <w:rsid w:val="00645E73"/>
    <w:rsid w:val="00646EA6"/>
    <w:rsid w:val="00653465"/>
    <w:rsid w:val="0065542B"/>
    <w:rsid w:val="0065673E"/>
    <w:rsid w:val="0066406E"/>
    <w:rsid w:val="006653B3"/>
    <w:rsid w:val="00665489"/>
    <w:rsid w:val="00666A8E"/>
    <w:rsid w:val="006759F6"/>
    <w:rsid w:val="00684349"/>
    <w:rsid w:val="00684DCC"/>
    <w:rsid w:val="00693C92"/>
    <w:rsid w:val="006A14B9"/>
    <w:rsid w:val="006B0DFB"/>
    <w:rsid w:val="006B1CFA"/>
    <w:rsid w:val="006B2FF1"/>
    <w:rsid w:val="006B41FC"/>
    <w:rsid w:val="006B588D"/>
    <w:rsid w:val="006B7A3A"/>
    <w:rsid w:val="006C58C1"/>
    <w:rsid w:val="006D7E46"/>
    <w:rsid w:val="006E2467"/>
    <w:rsid w:val="00702930"/>
    <w:rsid w:val="00714F10"/>
    <w:rsid w:val="007222AB"/>
    <w:rsid w:val="00737413"/>
    <w:rsid w:val="007377C7"/>
    <w:rsid w:val="00782794"/>
    <w:rsid w:val="007906B4"/>
    <w:rsid w:val="00790E7B"/>
    <w:rsid w:val="00793874"/>
    <w:rsid w:val="007A0375"/>
    <w:rsid w:val="007A36B7"/>
    <w:rsid w:val="007B1953"/>
    <w:rsid w:val="007B7EAB"/>
    <w:rsid w:val="007C07C5"/>
    <w:rsid w:val="007C45EB"/>
    <w:rsid w:val="007C6936"/>
    <w:rsid w:val="007C69F5"/>
    <w:rsid w:val="007D77F5"/>
    <w:rsid w:val="007E1810"/>
    <w:rsid w:val="007E7F1F"/>
    <w:rsid w:val="007F020A"/>
    <w:rsid w:val="00810960"/>
    <w:rsid w:val="00817426"/>
    <w:rsid w:val="00817B48"/>
    <w:rsid w:val="00822FCB"/>
    <w:rsid w:val="00823A47"/>
    <w:rsid w:val="00842B99"/>
    <w:rsid w:val="00845F1B"/>
    <w:rsid w:val="00846EDB"/>
    <w:rsid w:val="00847E07"/>
    <w:rsid w:val="00857828"/>
    <w:rsid w:val="0086564D"/>
    <w:rsid w:val="0086648A"/>
    <w:rsid w:val="008823DB"/>
    <w:rsid w:val="00882CEB"/>
    <w:rsid w:val="008939D8"/>
    <w:rsid w:val="00895CE8"/>
    <w:rsid w:val="008A01B1"/>
    <w:rsid w:val="008A1831"/>
    <w:rsid w:val="008A294A"/>
    <w:rsid w:val="008A40AA"/>
    <w:rsid w:val="008B4591"/>
    <w:rsid w:val="008C1ABC"/>
    <w:rsid w:val="008C6F00"/>
    <w:rsid w:val="008D0AD0"/>
    <w:rsid w:val="008D1506"/>
    <w:rsid w:val="008D3E85"/>
    <w:rsid w:val="008D4C7B"/>
    <w:rsid w:val="008D5893"/>
    <w:rsid w:val="008E78F9"/>
    <w:rsid w:val="008F177A"/>
    <w:rsid w:val="008F49C9"/>
    <w:rsid w:val="008F5FA4"/>
    <w:rsid w:val="00911B73"/>
    <w:rsid w:val="00917994"/>
    <w:rsid w:val="00922F0E"/>
    <w:rsid w:val="009348E7"/>
    <w:rsid w:val="00941695"/>
    <w:rsid w:val="0094251D"/>
    <w:rsid w:val="009454BE"/>
    <w:rsid w:val="00946F92"/>
    <w:rsid w:val="009507E2"/>
    <w:rsid w:val="00951D65"/>
    <w:rsid w:val="009622F3"/>
    <w:rsid w:val="00963FEE"/>
    <w:rsid w:val="0096463C"/>
    <w:rsid w:val="009656F0"/>
    <w:rsid w:val="0096590B"/>
    <w:rsid w:val="00971FA4"/>
    <w:rsid w:val="00976CF1"/>
    <w:rsid w:val="009866A7"/>
    <w:rsid w:val="00991694"/>
    <w:rsid w:val="009935F2"/>
    <w:rsid w:val="009A1631"/>
    <w:rsid w:val="009A7A8B"/>
    <w:rsid w:val="009B088D"/>
    <w:rsid w:val="009B2F2D"/>
    <w:rsid w:val="009C082D"/>
    <w:rsid w:val="009C4B7A"/>
    <w:rsid w:val="009D034B"/>
    <w:rsid w:val="009D215E"/>
    <w:rsid w:val="009D4B91"/>
    <w:rsid w:val="009D5783"/>
    <w:rsid w:val="009D5B50"/>
    <w:rsid w:val="009D6431"/>
    <w:rsid w:val="009E082D"/>
    <w:rsid w:val="009E2B85"/>
    <w:rsid w:val="00A033B0"/>
    <w:rsid w:val="00A03787"/>
    <w:rsid w:val="00A1573C"/>
    <w:rsid w:val="00A17023"/>
    <w:rsid w:val="00A20C4F"/>
    <w:rsid w:val="00A269A5"/>
    <w:rsid w:val="00A26F38"/>
    <w:rsid w:val="00A34537"/>
    <w:rsid w:val="00A34E9C"/>
    <w:rsid w:val="00A34F1C"/>
    <w:rsid w:val="00A43FE9"/>
    <w:rsid w:val="00A44CDB"/>
    <w:rsid w:val="00A5186A"/>
    <w:rsid w:val="00A56A3A"/>
    <w:rsid w:val="00A67C29"/>
    <w:rsid w:val="00A70FBA"/>
    <w:rsid w:val="00A80501"/>
    <w:rsid w:val="00A8166B"/>
    <w:rsid w:val="00A81DAC"/>
    <w:rsid w:val="00A878D3"/>
    <w:rsid w:val="00A9415B"/>
    <w:rsid w:val="00A95DC7"/>
    <w:rsid w:val="00AA1657"/>
    <w:rsid w:val="00AA35AC"/>
    <w:rsid w:val="00AB07ED"/>
    <w:rsid w:val="00AB0FEA"/>
    <w:rsid w:val="00AB42E2"/>
    <w:rsid w:val="00AB6C6B"/>
    <w:rsid w:val="00AC1BCD"/>
    <w:rsid w:val="00AD496E"/>
    <w:rsid w:val="00AE045F"/>
    <w:rsid w:val="00AE0CFE"/>
    <w:rsid w:val="00AF5E6D"/>
    <w:rsid w:val="00AF6636"/>
    <w:rsid w:val="00B00A28"/>
    <w:rsid w:val="00B02E83"/>
    <w:rsid w:val="00B17094"/>
    <w:rsid w:val="00B22789"/>
    <w:rsid w:val="00B23601"/>
    <w:rsid w:val="00B347F8"/>
    <w:rsid w:val="00B35B5E"/>
    <w:rsid w:val="00B41F06"/>
    <w:rsid w:val="00B43F53"/>
    <w:rsid w:val="00B53B16"/>
    <w:rsid w:val="00B66BB1"/>
    <w:rsid w:val="00B77341"/>
    <w:rsid w:val="00B944E2"/>
    <w:rsid w:val="00BA0A70"/>
    <w:rsid w:val="00BA3C1C"/>
    <w:rsid w:val="00BB77EF"/>
    <w:rsid w:val="00BC1600"/>
    <w:rsid w:val="00BC4B80"/>
    <w:rsid w:val="00BC4DC5"/>
    <w:rsid w:val="00BC662E"/>
    <w:rsid w:val="00BD378D"/>
    <w:rsid w:val="00BF334A"/>
    <w:rsid w:val="00BF60DB"/>
    <w:rsid w:val="00C0364D"/>
    <w:rsid w:val="00C05CE6"/>
    <w:rsid w:val="00C30507"/>
    <w:rsid w:val="00C37D2D"/>
    <w:rsid w:val="00C519F3"/>
    <w:rsid w:val="00C5795B"/>
    <w:rsid w:val="00C60C20"/>
    <w:rsid w:val="00C6152D"/>
    <w:rsid w:val="00C63A04"/>
    <w:rsid w:val="00C65ACA"/>
    <w:rsid w:val="00C700EE"/>
    <w:rsid w:val="00C94ED8"/>
    <w:rsid w:val="00CA0B00"/>
    <w:rsid w:val="00CA523E"/>
    <w:rsid w:val="00CB1453"/>
    <w:rsid w:val="00CB3177"/>
    <w:rsid w:val="00CC096D"/>
    <w:rsid w:val="00CD1C03"/>
    <w:rsid w:val="00CE4B13"/>
    <w:rsid w:val="00D20652"/>
    <w:rsid w:val="00D24622"/>
    <w:rsid w:val="00D24CDD"/>
    <w:rsid w:val="00D525BA"/>
    <w:rsid w:val="00D61F28"/>
    <w:rsid w:val="00D66783"/>
    <w:rsid w:val="00D67E4A"/>
    <w:rsid w:val="00D70BE2"/>
    <w:rsid w:val="00D744AF"/>
    <w:rsid w:val="00D77340"/>
    <w:rsid w:val="00D77586"/>
    <w:rsid w:val="00D82089"/>
    <w:rsid w:val="00D82368"/>
    <w:rsid w:val="00D83603"/>
    <w:rsid w:val="00D917C7"/>
    <w:rsid w:val="00D91A74"/>
    <w:rsid w:val="00D9457E"/>
    <w:rsid w:val="00DA1833"/>
    <w:rsid w:val="00DA1F9E"/>
    <w:rsid w:val="00DB32ED"/>
    <w:rsid w:val="00DB5A80"/>
    <w:rsid w:val="00DB5E64"/>
    <w:rsid w:val="00DC552B"/>
    <w:rsid w:val="00DE1A93"/>
    <w:rsid w:val="00DF1D98"/>
    <w:rsid w:val="00E00994"/>
    <w:rsid w:val="00E03542"/>
    <w:rsid w:val="00E13E09"/>
    <w:rsid w:val="00E1773E"/>
    <w:rsid w:val="00E22A64"/>
    <w:rsid w:val="00E262E6"/>
    <w:rsid w:val="00E270D0"/>
    <w:rsid w:val="00E31DF5"/>
    <w:rsid w:val="00E36A5D"/>
    <w:rsid w:val="00E72AEC"/>
    <w:rsid w:val="00E84074"/>
    <w:rsid w:val="00E9510A"/>
    <w:rsid w:val="00EA1019"/>
    <w:rsid w:val="00EA2C4B"/>
    <w:rsid w:val="00EB2AA3"/>
    <w:rsid w:val="00EB379C"/>
    <w:rsid w:val="00EC3A67"/>
    <w:rsid w:val="00EC597A"/>
    <w:rsid w:val="00EC6BCC"/>
    <w:rsid w:val="00ED1A39"/>
    <w:rsid w:val="00EE1B73"/>
    <w:rsid w:val="00EE7653"/>
    <w:rsid w:val="00EF32F6"/>
    <w:rsid w:val="00EF7C86"/>
    <w:rsid w:val="00F0361A"/>
    <w:rsid w:val="00F108EF"/>
    <w:rsid w:val="00F1768E"/>
    <w:rsid w:val="00F17ADA"/>
    <w:rsid w:val="00F21AF8"/>
    <w:rsid w:val="00F230AF"/>
    <w:rsid w:val="00F23166"/>
    <w:rsid w:val="00F25570"/>
    <w:rsid w:val="00F27E07"/>
    <w:rsid w:val="00F35C01"/>
    <w:rsid w:val="00F429C0"/>
    <w:rsid w:val="00F551B1"/>
    <w:rsid w:val="00F55C82"/>
    <w:rsid w:val="00F7183B"/>
    <w:rsid w:val="00F761E7"/>
    <w:rsid w:val="00F82B07"/>
    <w:rsid w:val="00F84046"/>
    <w:rsid w:val="00F9557B"/>
    <w:rsid w:val="00FA1380"/>
    <w:rsid w:val="00FA24CB"/>
    <w:rsid w:val="00FA5178"/>
    <w:rsid w:val="00FA6DC5"/>
    <w:rsid w:val="00FB11D2"/>
    <w:rsid w:val="00FB1DF2"/>
    <w:rsid w:val="00FD3AA4"/>
    <w:rsid w:val="00FD52CB"/>
    <w:rsid w:val="00FD5CFA"/>
    <w:rsid w:val="00FD676D"/>
    <w:rsid w:val="00FD6D05"/>
    <w:rsid w:val="00FD73BF"/>
    <w:rsid w:val="00FE1E22"/>
    <w:rsid w:val="00FE514C"/>
    <w:rsid w:val="00FF1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47449B3"/>
  <w15:docId w15:val="{85C5D5BB-DFE6-44EB-BD47-5DF8141F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E09"/>
    <w:pPr>
      <w:jc w:val="both"/>
    </w:pPr>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23258F"/>
    <w:pPr>
      <w:keepNext/>
      <w:numPr>
        <w:numId w:val="7"/>
      </w:numPr>
      <w:ind w:left="360"/>
      <w:outlineLvl w:val="1"/>
    </w:pPr>
    <w:rPr>
      <w:b/>
      <w:u w:val="single"/>
    </w:rPr>
  </w:style>
  <w:style w:type="paragraph" w:styleId="Heading3">
    <w:name w:val="heading 3"/>
    <w:basedOn w:val="Normal"/>
    <w:next w:val="Normal"/>
    <w:link w:val="Heading3Char"/>
    <w:qFormat/>
    <w:rsid w:val="005C3C7E"/>
    <w:pPr>
      <w:keepNext/>
      <w:numPr>
        <w:numId w:val="9"/>
      </w:numPr>
      <w:outlineLvl w:val="2"/>
    </w:pPr>
    <w:rPr>
      <w:u w:val="single"/>
    </w:rPr>
  </w:style>
  <w:style w:type="paragraph" w:styleId="Heading4">
    <w:name w:val="heading 4"/>
    <w:basedOn w:val="Normal"/>
    <w:next w:val="Normal"/>
    <w:qFormat/>
    <w:pPr>
      <w:keepNext/>
      <w:tabs>
        <w:tab w:val="num" w:pos="720"/>
      </w:tabs>
      <w:ind w:left="720" w:hanging="720"/>
      <w:outlineLvl w:val="3"/>
    </w:pPr>
  </w:style>
  <w:style w:type="paragraph" w:styleId="Heading5">
    <w:name w:val="heading 5"/>
    <w:basedOn w:val="Normal"/>
    <w:next w:val="Normal"/>
    <w:qFormat/>
    <w:pPr>
      <w:keepNext/>
      <w:numPr>
        <w:numId w:val="1"/>
      </w:numPr>
      <w:outlineLvl w:val="4"/>
    </w:pPr>
    <w:rPr>
      <w:b/>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outlineLvl w:val="6"/>
    </w:pPr>
  </w:style>
  <w:style w:type="paragraph" w:styleId="Heading8">
    <w:name w:val="heading 8"/>
    <w:basedOn w:val="Normal"/>
    <w:next w:val="Normal"/>
    <w:link w:val="Heading8Char"/>
    <w:qFormat/>
    <w:pPr>
      <w:keepNext/>
      <w:numPr>
        <w:numId w:val="2"/>
      </w:numPr>
      <w:outlineLvl w:val="7"/>
    </w:p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BodyText">
    <w:name w:val="Body Text"/>
    <w:basedOn w:val="Normal"/>
  </w:style>
  <w:style w:type="paragraph" w:styleId="BodyTextIndent2">
    <w:name w:val="Body Text Indent 2"/>
    <w:basedOn w:val="Normal"/>
    <w:pPr>
      <w:ind w:left="720" w:hanging="7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pPr>
      <w:ind w:left="720"/>
    </w:pPr>
  </w:style>
  <w:style w:type="paragraph" w:styleId="BodyText2">
    <w:name w:val="Body Text 2"/>
    <w:basedOn w:val="Normal"/>
    <w:rPr>
      <w:sz w:val="22"/>
    </w:rPr>
  </w:style>
  <w:style w:type="paragraph" w:customStyle="1" w:styleId="RulesSub-section">
    <w:name w:val="Rules: Sub-section"/>
    <w:basedOn w:val="Normal"/>
    <w:pPr>
      <w:tabs>
        <w:tab w:val="left" w:pos="360"/>
        <w:tab w:val="left" w:pos="720"/>
        <w:tab w:val="left" w:pos="1080"/>
        <w:tab w:val="left" w:pos="1440"/>
        <w:tab w:val="left" w:pos="1800"/>
        <w:tab w:val="left" w:pos="2160"/>
      </w:tabs>
      <w:spacing w:line="240" w:lineRule="atLeast"/>
      <w:ind w:left="720" w:hanging="360"/>
    </w:pPr>
    <w:rPr>
      <w:sz w:val="22"/>
    </w:rPr>
  </w:style>
  <w:style w:type="paragraph" w:styleId="BodyText3">
    <w:name w:val="Body Text 3"/>
    <w:basedOn w:val="Normal"/>
    <w:rPr>
      <w:b/>
    </w:rPr>
  </w:style>
  <w:style w:type="table" w:styleId="TableGrid">
    <w:name w:val="Table Grid"/>
    <w:basedOn w:val="TableNormal"/>
    <w:rsid w:val="00B17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B459C"/>
    <w:rPr>
      <w:rFonts w:ascii="Arial" w:hAnsi="Arial"/>
    </w:rPr>
  </w:style>
  <w:style w:type="paragraph" w:customStyle="1" w:styleId="ReturnAddress">
    <w:name w:val="Return Address"/>
    <w:basedOn w:val="Normal"/>
    <w:rsid w:val="000B459C"/>
    <w:pPr>
      <w:overflowPunct w:val="0"/>
      <w:autoSpaceDE w:val="0"/>
      <w:autoSpaceDN w:val="0"/>
      <w:adjustRightInd w:val="0"/>
      <w:textAlignment w:val="baseline"/>
    </w:pPr>
    <w:rPr>
      <w:rFonts w:ascii="Garamond" w:hAnsi="Garamond"/>
      <w:color w:val="008080"/>
      <w:sz w:val="16"/>
    </w:rPr>
  </w:style>
  <w:style w:type="character" w:styleId="Hyperlink">
    <w:name w:val="Hyperlink"/>
    <w:rsid w:val="000C7A4E"/>
    <w:rPr>
      <w:color w:val="0000FF"/>
      <w:u w:val="single"/>
    </w:rPr>
  </w:style>
  <w:style w:type="paragraph" w:customStyle="1" w:styleId="rulessection">
    <w:name w:val="rulessection"/>
    <w:basedOn w:val="Normal"/>
    <w:rsid w:val="000C7A4E"/>
    <w:pPr>
      <w:spacing w:line="240" w:lineRule="atLeast"/>
      <w:ind w:left="360" w:hanging="360"/>
    </w:pPr>
    <w:rPr>
      <w:sz w:val="22"/>
      <w:szCs w:val="22"/>
    </w:rPr>
  </w:style>
  <w:style w:type="paragraph" w:styleId="BalloonText">
    <w:name w:val="Balloon Text"/>
    <w:basedOn w:val="Normal"/>
    <w:link w:val="BalloonTextChar"/>
    <w:rsid w:val="00D525BA"/>
    <w:rPr>
      <w:rFonts w:ascii="Tahoma" w:hAnsi="Tahoma" w:cs="Tahoma"/>
      <w:sz w:val="16"/>
      <w:szCs w:val="16"/>
    </w:rPr>
  </w:style>
  <w:style w:type="character" w:customStyle="1" w:styleId="BalloonTextChar">
    <w:name w:val="Balloon Text Char"/>
    <w:link w:val="BalloonText"/>
    <w:rsid w:val="00D525BA"/>
    <w:rPr>
      <w:rFonts w:ascii="Tahoma" w:hAnsi="Tahoma" w:cs="Tahoma"/>
      <w:sz w:val="16"/>
      <w:szCs w:val="16"/>
    </w:rPr>
  </w:style>
  <w:style w:type="character" w:customStyle="1" w:styleId="Heading8Char">
    <w:name w:val="Heading 8 Char"/>
    <w:basedOn w:val="DefaultParagraphFont"/>
    <w:link w:val="Heading8"/>
    <w:rsid w:val="0021512C"/>
    <w:rPr>
      <w:sz w:val="24"/>
    </w:rPr>
  </w:style>
  <w:style w:type="character" w:customStyle="1" w:styleId="BodyTextIndentChar">
    <w:name w:val="Body Text Indent Char"/>
    <w:basedOn w:val="DefaultParagraphFont"/>
    <w:link w:val="BodyTextIndent"/>
    <w:rsid w:val="0021512C"/>
    <w:rPr>
      <w:sz w:val="24"/>
    </w:rPr>
  </w:style>
  <w:style w:type="paragraph" w:styleId="ListParagraph">
    <w:name w:val="List Paragraph"/>
    <w:basedOn w:val="Normal"/>
    <w:uiPriority w:val="34"/>
    <w:qFormat/>
    <w:rsid w:val="0050278C"/>
    <w:pPr>
      <w:ind w:left="720"/>
      <w:contextualSpacing/>
    </w:pPr>
    <w:rPr>
      <w:szCs w:val="24"/>
    </w:rPr>
  </w:style>
  <w:style w:type="character" w:customStyle="1" w:styleId="HeaderChar">
    <w:name w:val="Header Char"/>
    <w:basedOn w:val="DefaultParagraphFont"/>
    <w:link w:val="Header"/>
    <w:rsid w:val="0096590B"/>
  </w:style>
  <w:style w:type="character" w:customStyle="1" w:styleId="BodyTextIndent3Char">
    <w:name w:val="Body Text Indent 3 Char"/>
    <w:basedOn w:val="DefaultParagraphFont"/>
    <w:link w:val="BodyTextIndent3"/>
    <w:rsid w:val="0009617B"/>
    <w:rPr>
      <w:sz w:val="24"/>
    </w:rPr>
  </w:style>
  <w:style w:type="character" w:styleId="CommentReference">
    <w:name w:val="annotation reference"/>
    <w:basedOn w:val="DefaultParagraphFont"/>
    <w:semiHidden/>
    <w:unhideWhenUsed/>
    <w:rsid w:val="005D3466"/>
    <w:rPr>
      <w:sz w:val="16"/>
      <w:szCs w:val="16"/>
    </w:rPr>
  </w:style>
  <w:style w:type="paragraph" w:styleId="CommentText">
    <w:name w:val="annotation text"/>
    <w:basedOn w:val="Normal"/>
    <w:link w:val="CommentTextChar"/>
    <w:unhideWhenUsed/>
    <w:rsid w:val="005D3466"/>
    <w:rPr>
      <w:sz w:val="20"/>
    </w:rPr>
  </w:style>
  <w:style w:type="character" w:customStyle="1" w:styleId="CommentTextChar">
    <w:name w:val="Comment Text Char"/>
    <w:basedOn w:val="DefaultParagraphFont"/>
    <w:link w:val="CommentText"/>
    <w:rsid w:val="005D3466"/>
  </w:style>
  <w:style w:type="paragraph" w:styleId="CommentSubject">
    <w:name w:val="annotation subject"/>
    <w:basedOn w:val="CommentText"/>
    <w:next w:val="CommentText"/>
    <w:link w:val="CommentSubjectChar"/>
    <w:semiHidden/>
    <w:unhideWhenUsed/>
    <w:rsid w:val="005D3466"/>
    <w:rPr>
      <w:b/>
      <w:bCs/>
    </w:rPr>
  </w:style>
  <w:style w:type="character" w:customStyle="1" w:styleId="CommentSubjectChar">
    <w:name w:val="Comment Subject Char"/>
    <w:basedOn w:val="CommentTextChar"/>
    <w:link w:val="CommentSubject"/>
    <w:semiHidden/>
    <w:rsid w:val="005D3466"/>
    <w:rPr>
      <w:b/>
      <w:bCs/>
    </w:rPr>
  </w:style>
  <w:style w:type="character" w:customStyle="1" w:styleId="Heading3Char">
    <w:name w:val="Heading 3 Char"/>
    <w:basedOn w:val="DefaultParagraphFont"/>
    <w:link w:val="Heading3"/>
    <w:rsid w:val="00A8166B"/>
    <w:rPr>
      <w:sz w:val="24"/>
      <w:u w:val="single"/>
    </w:rPr>
  </w:style>
  <w:style w:type="paragraph" w:styleId="FootnoteText">
    <w:name w:val="footnote text"/>
    <w:basedOn w:val="Normal"/>
    <w:link w:val="FootnoteTextChar"/>
    <w:semiHidden/>
    <w:unhideWhenUsed/>
    <w:rsid w:val="00A8166B"/>
    <w:rPr>
      <w:sz w:val="20"/>
    </w:rPr>
  </w:style>
  <w:style w:type="character" w:customStyle="1" w:styleId="FootnoteTextChar">
    <w:name w:val="Footnote Text Char"/>
    <w:basedOn w:val="DefaultParagraphFont"/>
    <w:link w:val="FootnoteText"/>
    <w:semiHidden/>
    <w:rsid w:val="00A8166B"/>
  </w:style>
  <w:style w:type="character" w:styleId="FootnoteReference">
    <w:name w:val="footnote reference"/>
    <w:basedOn w:val="DefaultParagraphFont"/>
    <w:semiHidden/>
    <w:unhideWhenUsed/>
    <w:rsid w:val="00A8166B"/>
    <w:rPr>
      <w:vertAlign w:val="superscript"/>
    </w:rPr>
  </w:style>
  <w:style w:type="paragraph" w:customStyle="1" w:styleId="Condition">
    <w:name w:val="Condition"/>
    <w:basedOn w:val="Heading2"/>
    <w:link w:val="ConditionChar"/>
    <w:qFormat/>
    <w:rsid w:val="00BB77EF"/>
    <w:pPr>
      <w:numPr>
        <w:numId w:val="21"/>
      </w:numPr>
      <w:ind w:left="720" w:hanging="720"/>
    </w:pPr>
    <w:rPr>
      <w:rFonts w:eastAsiaTheme="majorEastAsia"/>
      <w:szCs w:val="26"/>
      <w:u w:val="none"/>
    </w:rPr>
  </w:style>
  <w:style w:type="character" w:customStyle="1" w:styleId="ConditionChar">
    <w:name w:val="Condition Char"/>
    <w:basedOn w:val="DefaultParagraphFont"/>
    <w:link w:val="Condition"/>
    <w:rsid w:val="00BB77EF"/>
    <w:rPr>
      <w:rFonts w:eastAsiaTheme="majorEastAsia"/>
      <w:b/>
      <w:sz w:val="24"/>
      <w:szCs w:val="26"/>
    </w:rPr>
  </w:style>
  <w:style w:type="paragraph" w:styleId="Revision">
    <w:name w:val="Revision"/>
    <w:hidden/>
    <w:uiPriority w:val="99"/>
    <w:semiHidden/>
    <w:rsid w:val="0065542B"/>
    <w:rPr>
      <w:sz w:val="24"/>
    </w:rPr>
  </w:style>
  <w:style w:type="character" w:styleId="UnresolvedMention">
    <w:name w:val="Unresolved Mention"/>
    <w:basedOn w:val="DefaultParagraphFont"/>
    <w:uiPriority w:val="99"/>
    <w:semiHidden/>
    <w:unhideWhenUsed/>
    <w:rsid w:val="00F55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576539">
      <w:bodyDiv w:val="1"/>
      <w:marLeft w:val="0"/>
      <w:marRight w:val="0"/>
      <w:marTop w:val="0"/>
      <w:marBottom w:val="0"/>
      <w:divBdr>
        <w:top w:val="none" w:sz="0" w:space="0" w:color="auto"/>
        <w:left w:val="none" w:sz="0" w:space="0" w:color="auto"/>
        <w:bottom w:val="none" w:sz="0" w:space="0" w:color="auto"/>
        <w:right w:val="none" w:sz="0" w:space="0" w:color="auto"/>
      </w:divBdr>
    </w:div>
    <w:div w:id="335766262">
      <w:bodyDiv w:val="1"/>
      <w:marLeft w:val="0"/>
      <w:marRight w:val="0"/>
      <w:marTop w:val="0"/>
      <w:marBottom w:val="0"/>
      <w:divBdr>
        <w:top w:val="none" w:sz="0" w:space="0" w:color="auto"/>
        <w:left w:val="none" w:sz="0" w:space="0" w:color="auto"/>
        <w:bottom w:val="none" w:sz="0" w:space="0" w:color="auto"/>
        <w:right w:val="none" w:sz="0" w:space="0" w:color="auto"/>
      </w:divBdr>
    </w:div>
    <w:div w:id="341977009">
      <w:bodyDiv w:val="1"/>
      <w:marLeft w:val="0"/>
      <w:marRight w:val="0"/>
      <w:marTop w:val="0"/>
      <w:marBottom w:val="0"/>
      <w:divBdr>
        <w:top w:val="none" w:sz="0" w:space="0" w:color="auto"/>
        <w:left w:val="none" w:sz="0" w:space="0" w:color="auto"/>
        <w:bottom w:val="none" w:sz="0" w:space="0" w:color="auto"/>
        <w:right w:val="none" w:sz="0" w:space="0" w:color="auto"/>
      </w:divBdr>
    </w:div>
    <w:div w:id="415830555">
      <w:bodyDiv w:val="1"/>
      <w:marLeft w:val="0"/>
      <w:marRight w:val="0"/>
      <w:marTop w:val="0"/>
      <w:marBottom w:val="0"/>
      <w:divBdr>
        <w:top w:val="none" w:sz="0" w:space="0" w:color="auto"/>
        <w:left w:val="none" w:sz="0" w:space="0" w:color="auto"/>
        <w:bottom w:val="none" w:sz="0" w:space="0" w:color="auto"/>
        <w:right w:val="none" w:sz="0" w:space="0" w:color="auto"/>
      </w:divBdr>
    </w:div>
    <w:div w:id="488137782">
      <w:bodyDiv w:val="1"/>
      <w:marLeft w:val="0"/>
      <w:marRight w:val="0"/>
      <w:marTop w:val="0"/>
      <w:marBottom w:val="0"/>
      <w:divBdr>
        <w:top w:val="none" w:sz="0" w:space="0" w:color="auto"/>
        <w:left w:val="none" w:sz="0" w:space="0" w:color="auto"/>
        <w:bottom w:val="none" w:sz="0" w:space="0" w:color="auto"/>
        <w:right w:val="none" w:sz="0" w:space="0" w:color="auto"/>
      </w:divBdr>
    </w:div>
    <w:div w:id="789322823">
      <w:bodyDiv w:val="1"/>
      <w:marLeft w:val="0"/>
      <w:marRight w:val="0"/>
      <w:marTop w:val="0"/>
      <w:marBottom w:val="0"/>
      <w:divBdr>
        <w:top w:val="none" w:sz="0" w:space="0" w:color="auto"/>
        <w:left w:val="none" w:sz="0" w:space="0" w:color="auto"/>
        <w:bottom w:val="none" w:sz="0" w:space="0" w:color="auto"/>
        <w:right w:val="none" w:sz="0" w:space="0" w:color="auto"/>
      </w:divBdr>
    </w:div>
    <w:div w:id="841243783">
      <w:bodyDiv w:val="1"/>
      <w:marLeft w:val="0"/>
      <w:marRight w:val="0"/>
      <w:marTop w:val="0"/>
      <w:marBottom w:val="0"/>
      <w:divBdr>
        <w:top w:val="none" w:sz="0" w:space="0" w:color="auto"/>
        <w:left w:val="none" w:sz="0" w:space="0" w:color="auto"/>
        <w:bottom w:val="none" w:sz="0" w:space="0" w:color="auto"/>
        <w:right w:val="none" w:sz="0" w:space="0" w:color="auto"/>
      </w:divBdr>
    </w:div>
    <w:div w:id="952134140">
      <w:bodyDiv w:val="1"/>
      <w:marLeft w:val="0"/>
      <w:marRight w:val="0"/>
      <w:marTop w:val="0"/>
      <w:marBottom w:val="0"/>
      <w:divBdr>
        <w:top w:val="none" w:sz="0" w:space="0" w:color="auto"/>
        <w:left w:val="none" w:sz="0" w:space="0" w:color="auto"/>
        <w:bottom w:val="none" w:sz="0" w:space="0" w:color="auto"/>
        <w:right w:val="none" w:sz="0" w:space="0" w:color="auto"/>
      </w:divBdr>
    </w:div>
    <w:div w:id="1068647682">
      <w:bodyDiv w:val="1"/>
      <w:marLeft w:val="0"/>
      <w:marRight w:val="0"/>
      <w:marTop w:val="0"/>
      <w:marBottom w:val="0"/>
      <w:divBdr>
        <w:top w:val="none" w:sz="0" w:space="0" w:color="auto"/>
        <w:left w:val="none" w:sz="0" w:space="0" w:color="auto"/>
        <w:bottom w:val="none" w:sz="0" w:space="0" w:color="auto"/>
        <w:right w:val="none" w:sz="0" w:space="0" w:color="auto"/>
      </w:divBdr>
    </w:div>
    <w:div w:id="1456480370">
      <w:bodyDiv w:val="1"/>
      <w:marLeft w:val="0"/>
      <w:marRight w:val="0"/>
      <w:marTop w:val="0"/>
      <w:marBottom w:val="0"/>
      <w:divBdr>
        <w:top w:val="none" w:sz="0" w:space="0" w:color="auto"/>
        <w:left w:val="none" w:sz="0" w:space="0" w:color="auto"/>
        <w:bottom w:val="none" w:sz="0" w:space="0" w:color="auto"/>
        <w:right w:val="none" w:sz="0" w:space="0" w:color="auto"/>
      </w:divBdr>
    </w:div>
    <w:div w:id="1627656506">
      <w:bodyDiv w:val="1"/>
      <w:marLeft w:val="0"/>
      <w:marRight w:val="0"/>
      <w:marTop w:val="0"/>
      <w:marBottom w:val="0"/>
      <w:divBdr>
        <w:top w:val="none" w:sz="0" w:space="0" w:color="auto"/>
        <w:left w:val="none" w:sz="0" w:space="0" w:color="auto"/>
        <w:bottom w:val="none" w:sz="0" w:space="0" w:color="auto"/>
        <w:right w:val="none" w:sz="0" w:space="0" w:color="auto"/>
      </w:divBdr>
    </w:div>
    <w:div w:id="1889146437">
      <w:bodyDiv w:val="1"/>
      <w:marLeft w:val="0"/>
      <w:marRight w:val="0"/>
      <w:marTop w:val="0"/>
      <w:marBottom w:val="0"/>
      <w:divBdr>
        <w:top w:val="none" w:sz="0" w:space="0" w:color="auto"/>
        <w:left w:val="none" w:sz="0" w:space="0" w:color="auto"/>
        <w:bottom w:val="none" w:sz="0" w:space="0" w:color="auto"/>
        <w:right w:val="none" w:sz="0" w:space="0" w:color="auto"/>
      </w:divBdr>
    </w:div>
    <w:div w:id="1980457350">
      <w:bodyDiv w:val="1"/>
      <w:marLeft w:val="0"/>
      <w:marRight w:val="0"/>
      <w:marTop w:val="0"/>
      <w:marBottom w:val="0"/>
      <w:divBdr>
        <w:top w:val="none" w:sz="0" w:space="0" w:color="auto"/>
        <w:left w:val="none" w:sz="0" w:space="0" w:color="auto"/>
        <w:bottom w:val="none" w:sz="0" w:space="0" w:color="auto"/>
        <w:right w:val="none" w:sz="0" w:space="0" w:color="auto"/>
      </w:divBdr>
    </w:div>
    <w:div w:id="2008946263">
      <w:bodyDiv w:val="1"/>
      <w:marLeft w:val="0"/>
      <w:marRight w:val="0"/>
      <w:marTop w:val="0"/>
      <w:marBottom w:val="0"/>
      <w:divBdr>
        <w:top w:val="none" w:sz="0" w:space="0" w:color="auto"/>
        <w:left w:val="none" w:sz="0" w:space="0" w:color="auto"/>
        <w:bottom w:val="none" w:sz="0" w:space="0" w:color="auto"/>
        <w:right w:val="none" w:sz="0" w:space="0" w:color="auto"/>
      </w:divBdr>
    </w:div>
    <w:div w:id="201799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70C70-19C9-408C-B3F3-84A550F4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5479</Words>
  <Characters>30798</Characters>
  <Application>Microsoft Office Word</Application>
  <DocSecurity>4</DocSecurity>
  <Lines>2369</Lines>
  <Paragraphs>1099</Paragraphs>
  <ScaleCrop>false</ScaleCrop>
  <HeadingPairs>
    <vt:vector size="2" baseType="variant">
      <vt:variant>
        <vt:lpstr>Title</vt:lpstr>
      </vt:variant>
      <vt:variant>
        <vt:i4>1</vt:i4>
      </vt:variant>
    </vt:vector>
  </HeadingPairs>
  <TitlesOfParts>
    <vt:vector size="1" baseType="lpstr">
      <vt:lpstr>After review of the air emissions license amendment application, staff investigation reports and other documents in the applicant’s file in the Bureau of Air Quality, pursuant to 38 M</vt:lpstr>
    </vt:vector>
  </TitlesOfParts>
  <Company>Environmental Protection, Maine</Company>
  <LinksUpToDate>false</LinksUpToDate>
  <CharactersWithSpaces>35178</CharactersWithSpaces>
  <SharedDoc>false</SharedDoc>
  <HLinks>
    <vt:vector size="6" baseType="variant">
      <vt:variant>
        <vt:i4>1376326</vt:i4>
      </vt:variant>
      <vt:variant>
        <vt:i4>0</vt:i4>
      </vt:variant>
      <vt:variant>
        <vt:i4>0</vt:i4>
      </vt:variant>
      <vt:variant>
        <vt:i4>5</vt:i4>
      </vt:variant>
      <vt:variant>
        <vt:lpwstr>../General licensing section info/GHG CO2 eq spreadsheet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review of the air emissions license amendment application, staff investigation reports and other documents in the applicant’s file in the Bureau of Air Quality, pursuant to 38 M</dc:title>
  <dc:creator>Ham, Chris</dc:creator>
  <dc:description>115 license template-typed in  6.0</dc:description>
  <cp:lastModifiedBy>Evans, Rosemarie</cp:lastModifiedBy>
  <cp:revision>2</cp:revision>
  <cp:lastPrinted>2003-11-05T19:17:00Z</cp:lastPrinted>
  <dcterms:created xsi:type="dcterms:W3CDTF">2026-04-10T12:12:00Z</dcterms:created>
  <dcterms:modified xsi:type="dcterms:W3CDTF">2026-04-10T12:12:00Z</dcterms:modified>
</cp:coreProperties>
</file>