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E012" w14:textId="77777777" w:rsidR="00BA5A5F" w:rsidRPr="009A2573" w:rsidRDefault="00BA5A5F" w:rsidP="009A2573">
      <w:pPr>
        <w:pStyle w:val="Heading1"/>
      </w:pPr>
      <w:r w:rsidRPr="009A2573">
        <w:t>FINDINGS OF FACT</w:t>
      </w:r>
    </w:p>
    <w:p w14:paraId="440EC7D0" w14:textId="77777777" w:rsidR="00BA5A5F" w:rsidRDefault="00BA5A5F">
      <w:pPr>
        <w:pStyle w:val="BodyText"/>
      </w:pPr>
    </w:p>
    <w:p w14:paraId="06145606" w14:textId="452C5522" w:rsidR="00044AA4" w:rsidRDefault="00044AA4">
      <w:pPr>
        <w:pStyle w:val="BodyText"/>
      </w:pPr>
      <w:r>
        <w:t>A</w:t>
      </w:r>
      <w:r w:rsidR="00A866DA">
        <w:t xml:space="preserve">fter review of the air </w:t>
      </w:r>
      <w:r w:rsidR="00013E2E">
        <w:t>emission</w:t>
      </w:r>
      <w:r>
        <w:t xml:space="preserve"> license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5534E764" w14:textId="77777777" w:rsidR="00044AA4" w:rsidRDefault="00044AA4">
      <w:pPr>
        <w:jc w:val="both"/>
        <w:rPr>
          <w:sz w:val="24"/>
        </w:rPr>
      </w:pPr>
    </w:p>
    <w:p w14:paraId="699DBE8B" w14:textId="77777777" w:rsidR="00044AA4" w:rsidRPr="009A2573" w:rsidRDefault="00044AA4" w:rsidP="007D07F5">
      <w:pPr>
        <w:pStyle w:val="Heading2"/>
      </w:pPr>
      <w:r w:rsidRPr="009A2573">
        <w:t>REGISTRATION</w:t>
      </w:r>
    </w:p>
    <w:p w14:paraId="63A3C4D1" w14:textId="77777777" w:rsidR="005F687D" w:rsidRDefault="005F687D" w:rsidP="005F687D">
      <w:pPr>
        <w:jc w:val="both"/>
        <w:rPr>
          <w:sz w:val="24"/>
        </w:rPr>
      </w:pPr>
    </w:p>
    <w:p w14:paraId="1CC27C77" w14:textId="77777777" w:rsidR="005F687D" w:rsidRPr="005824D1" w:rsidRDefault="005F687D" w:rsidP="005824D1">
      <w:pPr>
        <w:pStyle w:val="Heading3"/>
      </w:pPr>
      <w:r w:rsidRPr="005824D1">
        <w:t>Introduction</w:t>
      </w:r>
    </w:p>
    <w:p w14:paraId="6C2DA257" w14:textId="77777777" w:rsidR="005F687D" w:rsidRPr="007044ED" w:rsidRDefault="005F687D" w:rsidP="005F687D">
      <w:pPr>
        <w:rPr>
          <w:sz w:val="24"/>
          <w:szCs w:val="24"/>
        </w:rPr>
      </w:pPr>
    </w:p>
    <w:p w14:paraId="4E823816" w14:textId="36B43779" w:rsidR="005F687D" w:rsidRDefault="00753466" w:rsidP="003C1551">
      <w:pPr>
        <w:ind w:left="720"/>
        <w:jc w:val="both"/>
        <w:rPr>
          <w:sz w:val="24"/>
        </w:rPr>
      </w:pPr>
      <w:r>
        <w:rPr>
          <w:sz w:val="24"/>
        </w:rPr>
        <w:t>Northeastern University (</w:t>
      </w:r>
      <w:r w:rsidR="00E53AFE">
        <w:rPr>
          <w:sz w:val="24"/>
        </w:rPr>
        <w:t>N</w:t>
      </w:r>
      <w:r w:rsidR="00964CF7">
        <w:rPr>
          <w:sz w:val="24"/>
        </w:rPr>
        <w:t>ortheastern</w:t>
      </w:r>
      <w:r>
        <w:rPr>
          <w:sz w:val="24"/>
        </w:rPr>
        <w:t>)</w:t>
      </w:r>
      <w:r w:rsidR="005F687D">
        <w:rPr>
          <w:sz w:val="24"/>
        </w:rPr>
        <w:t xml:space="preserve"> has applied</w:t>
      </w:r>
      <w:r w:rsidR="00846904">
        <w:rPr>
          <w:sz w:val="24"/>
        </w:rPr>
        <w:t xml:space="preserve"> </w:t>
      </w:r>
      <w:r w:rsidR="00846904" w:rsidRPr="00753466">
        <w:rPr>
          <w:bCs/>
          <w:iCs/>
          <w:sz w:val="24"/>
        </w:rPr>
        <w:t>for an</w:t>
      </w:r>
      <w:r w:rsidR="005F687D">
        <w:rPr>
          <w:sz w:val="24"/>
        </w:rPr>
        <w:t xml:space="preserve"> Air Emission License </w:t>
      </w:r>
      <w:r w:rsidR="00376167">
        <w:rPr>
          <w:sz w:val="24"/>
        </w:rPr>
        <w:t>for</w:t>
      </w:r>
      <w:r w:rsidR="005F687D">
        <w:rPr>
          <w:sz w:val="24"/>
        </w:rPr>
        <w:t xml:space="preserve"> the operation of emission sources associated with their </w:t>
      </w:r>
      <w:r>
        <w:rPr>
          <w:sz w:val="24"/>
        </w:rPr>
        <w:t xml:space="preserve">education, research, and business startup </w:t>
      </w:r>
      <w:r w:rsidR="005F687D">
        <w:rPr>
          <w:sz w:val="24"/>
        </w:rPr>
        <w:t>facility.</w:t>
      </w:r>
    </w:p>
    <w:p w14:paraId="74AE9009" w14:textId="77777777" w:rsidR="005F687D" w:rsidRDefault="005F687D" w:rsidP="005F687D">
      <w:pPr>
        <w:ind w:left="720"/>
        <w:jc w:val="both"/>
        <w:rPr>
          <w:sz w:val="24"/>
        </w:rPr>
      </w:pPr>
    </w:p>
    <w:p w14:paraId="67D8A69F" w14:textId="72FDDD5A" w:rsidR="005F687D" w:rsidRDefault="005F687D" w:rsidP="003C1551">
      <w:pPr>
        <w:ind w:left="720"/>
        <w:jc w:val="both"/>
        <w:rPr>
          <w:sz w:val="24"/>
        </w:rPr>
      </w:pPr>
      <w:r>
        <w:rPr>
          <w:sz w:val="24"/>
        </w:rPr>
        <w:t xml:space="preserve">The equipment addressed in this license is located at </w:t>
      </w:r>
      <w:r w:rsidR="00753466">
        <w:rPr>
          <w:sz w:val="24"/>
        </w:rPr>
        <w:t>37 Northeastern Drive, Portland,</w:t>
      </w:r>
      <w:r w:rsidRPr="0034237E">
        <w:rPr>
          <w:b/>
          <w:i/>
          <w:sz w:val="24"/>
        </w:rPr>
        <w:t xml:space="preserve"> </w:t>
      </w:r>
      <w:r w:rsidRPr="00727AA3">
        <w:rPr>
          <w:sz w:val="24"/>
        </w:rPr>
        <w:t>Maine.</w:t>
      </w:r>
    </w:p>
    <w:p w14:paraId="0EB862D8" w14:textId="77777777" w:rsidR="005F687D" w:rsidRDefault="005F687D" w:rsidP="005F687D">
      <w:pPr>
        <w:jc w:val="both"/>
        <w:rPr>
          <w:sz w:val="24"/>
        </w:rPr>
      </w:pPr>
      <w:bookmarkStart w:id="0" w:name="_Hlk45717970"/>
    </w:p>
    <w:p w14:paraId="52B4B649" w14:textId="7F934693" w:rsidR="007044ED" w:rsidRDefault="007044ED" w:rsidP="007044ED">
      <w:pPr>
        <w:pStyle w:val="Heading3"/>
      </w:pPr>
      <w:r>
        <w:t>Title, Right, or Interest</w:t>
      </w:r>
    </w:p>
    <w:p w14:paraId="79C1E2BC" w14:textId="77777777" w:rsidR="007044ED" w:rsidRDefault="007044ED" w:rsidP="007044ED">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jc w:val="both"/>
        <w:rPr>
          <w:sz w:val="24"/>
        </w:rPr>
      </w:pPr>
    </w:p>
    <w:p w14:paraId="1E244CCC" w14:textId="341E01BE" w:rsidR="007044ED" w:rsidRDefault="007044ED" w:rsidP="007044ED">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jc w:val="both"/>
        <w:rPr>
          <w:sz w:val="24"/>
        </w:rPr>
      </w:pPr>
      <w:r>
        <w:rPr>
          <w:sz w:val="24"/>
        </w:rPr>
        <w:t xml:space="preserve">In their application, </w:t>
      </w:r>
      <w:r w:rsidR="00E53AFE">
        <w:rPr>
          <w:sz w:val="24"/>
        </w:rPr>
        <w:t>N</w:t>
      </w:r>
      <w:r w:rsidR="00964CF7">
        <w:rPr>
          <w:sz w:val="24"/>
        </w:rPr>
        <w:t>ortheastern</w:t>
      </w:r>
      <w:r>
        <w:rPr>
          <w:sz w:val="24"/>
        </w:rPr>
        <w:t xml:space="preserve"> submitted copies of a property deed demonstrating ownership of the facility. </w:t>
      </w:r>
      <w:r w:rsidR="00E53AFE">
        <w:rPr>
          <w:sz w:val="24"/>
        </w:rPr>
        <w:t>N</w:t>
      </w:r>
      <w:r w:rsidR="00964CF7">
        <w:rPr>
          <w:sz w:val="24"/>
        </w:rPr>
        <w:t>ortheastern</w:t>
      </w:r>
      <w:r>
        <w:rPr>
          <w:sz w:val="24"/>
        </w:rPr>
        <w:t xml:space="preserve"> has provided sufficient evidence of title, right, or interest in the facility for purposes of this air emission license.</w:t>
      </w:r>
    </w:p>
    <w:p w14:paraId="71A2E361" w14:textId="77777777" w:rsidR="007044ED" w:rsidRDefault="007044ED" w:rsidP="005F687D">
      <w:pPr>
        <w:jc w:val="both"/>
        <w:rPr>
          <w:sz w:val="24"/>
        </w:rPr>
      </w:pPr>
    </w:p>
    <w:bookmarkEnd w:id="0"/>
    <w:p w14:paraId="10FA0610" w14:textId="77777777" w:rsidR="00A441E3" w:rsidRPr="00A441E3" w:rsidRDefault="00044AA4" w:rsidP="005824D1">
      <w:pPr>
        <w:pStyle w:val="Heading3"/>
      </w:pPr>
      <w:r w:rsidRPr="00A441E3">
        <w:t>Emission Equipment</w:t>
      </w:r>
    </w:p>
    <w:p w14:paraId="62C7572C" w14:textId="77777777" w:rsidR="00CC1814" w:rsidRDefault="00CC1814">
      <w:pPr>
        <w:pStyle w:val="BodyTextIndent"/>
        <w:tabs>
          <w:tab w:val="left" w:pos="720"/>
        </w:tabs>
        <w:jc w:val="both"/>
      </w:pPr>
    </w:p>
    <w:p w14:paraId="14681824" w14:textId="1398D79C" w:rsidR="00044AA4" w:rsidRDefault="00044AA4">
      <w:pPr>
        <w:pStyle w:val="BodyTextIndent"/>
        <w:tabs>
          <w:tab w:val="left" w:pos="720"/>
        </w:tabs>
        <w:jc w:val="both"/>
      </w:pPr>
      <w:r>
        <w:t>The following equipment is addressed in this air emission license:</w:t>
      </w:r>
    </w:p>
    <w:p w14:paraId="7872D8CB" w14:textId="77777777" w:rsidR="00044AA4" w:rsidRDefault="00044AA4">
      <w:pPr>
        <w:jc w:val="both"/>
        <w:rPr>
          <w:sz w:val="24"/>
        </w:rPr>
      </w:pPr>
    </w:p>
    <w:p w14:paraId="3D1436FF" w14:textId="0EE7DE71" w:rsidR="00044AA4" w:rsidRPr="00D47AEC" w:rsidRDefault="00E53AFE" w:rsidP="0024412A">
      <w:pPr>
        <w:jc w:val="center"/>
        <w:rPr>
          <w:szCs w:val="24"/>
        </w:rPr>
      </w:pPr>
      <w:r>
        <w:rPr>
          <w:b/>
          <w:sz w:val="24"/>
          <w:szCs w:val="24"/>
        </w:rPr>
        <w:t>Emergenc</w:t>
      </w:r>
      <w:r w:rsidR="001D7ACF">
        <w:rPr>
          <w:b/>
          <w:sz w:val="24"/>
          <w:szCs w:val="24"/>
        </w:rPr>
        <w:t>y Engines</w:t>
      </w:r>
    </w:p>
    <w:p w14:paraId="4B8E99F2" w14:textId="77777777" w:rsidR="00044AA4" w:rsidRDefault="00044AA4">
      <w:pPr>
        <w:jc w:val="both"/>
        <w:rPr>
          <w:sz w:val="24"/>
        </w:rPr>
      </w:pPr>
    </w:p>
    <w:tbl>
      <w:tblPr>
        <w:tblW w:w="10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5"/>
        <w:gridCol w:w="1757"/>
        <w:gridCol w:w="1620"/>
        <w:gridCol w:w="1710"/>
        <w:gridCol w:w="1620"/>
        <w:gridCol w:w="990"/>
        <w:gridCol w:w="990"/>
      </w:tblGrid>
      <w:tr w:rsidR="00B128AE" w14:paraId="23416532" w14:textId="77777777" w:rsidTr="00B128AE">
        <w:trPr>
          <w:tblHeader/>
          <w:jc w:val="center"/>
        </w:trPr>
        <w:tc>
          <w:tcPr>
            <w:tcW w:w="1445" w:type="dxa"/>
            <w:shd w:val="clear" w:color="auto" w:fill="D9D9D9" w:themeFill="background1" w:themeFillShade="D9"/>
            <w:vAlign w:val="bottom"/>
          </w:tcPr>
          <w:p w14:paraId="38B4B36E" w14:textId="77777777" w:rsidR="00B128AE" w:rsidRPr="00662679" w:rsidRDefault="00B128AE" w:rsidP="00261D63">
            <w:pPr>
              <w:pStyle w:val="Heading3"/>
              <w:numPr>
                <w:ilvl w:val="0"/>
                <w:numId w:val="0"/>
              </w:numPr>
              <w:jc w:val="center"/>
              <w:rPr>
                <w:b/>
                <w:sz w:val="22"/>
                <w:szCs w:val="22"/>
                <w:u w:val="none"/>
              </w:rPr>
            </w:pPr>
            <w:r w:rsidRPr="00662679">
              <w:rPr>
                <w:b/>
                <w:sz w:val="22"/>
                <w:szCs w:val="22"/>
                <w:u w:val="none"/>
              </w:rPr>
              <w:t>Equipment</w:t>
            </w:r>
          </w:p>
        </w:tc>
        <w:tc>
          <w:tcPr>
            <w:tcW w:w="1757" w:type="dxa"/>
            <w:shd w:val="clear" w:color="auto" w:fill="D9D9D9" w:themeFill="background1" w:themeFillShade="D9"/>
          </w:tcPr>
          <w:p w14:paraId="075446A0" w14:textId="6CD6CBAF" w:rsidR="00B128AE" w:rsidRPr="00662679" w:rsidRDefault="00B128AE" w:rsidP="00261D63">
            <w:pPr>
              <w:jc w:val="center"/>
              <w:rPr>
                <w:b/>
                <w:sz w:val="22"/>
                <w:szCs w:val="22"/>
              </w:rPr>
            </w:pPr>
            <w:r w:rsidRPr="00662679">
              <w:rPr>
                <w:b/>
                <w:sz w:val="22"/>
                <w:szCs w:val="22"/>
              </w:rPr>
              <w:t>Max. Input Capacity</w:t>
            </w:r>
          </w:p>
        </w:tc>
        <w:tc>
          <w:tcPr>
            <w:tcW w:w="1620" w:type="dxa"/>
            <w:shd w:val="clear" w:color="auto" w:fill="D9D9D9" w:themeFill="background1" w:themeFillShade="D9"/>
            <w:vAlign w:val="bottom"/>
          </w:tcPr>
          <w:p w14:paraId="1C1D5332" w14:textId="438398BB" w:rsidR="00B128AE" w:rsidRPr="00662679" w:rsidRDefault="00B128AE" w:rsidP="00E53AFE">
            <w:pPr>
              <w:jc w:val="center"/>
              <w:rPr>
                <w:b/>
                <w:sz w:val="22"/>
                <w:szCs w:val="22"/>
              </w:rPr>
            </w:pPr>
            <w:r w:rsidRPr="00662679">
              <w:rPr>
                <w:b/>
                <w:sz w:val="22"/>
                <w:szCs w:val="22"/>
              </w:rPr>
              <w:t xml:space="preserve">Rated Output Capacity </w:t>
            </w:r>
          </w:p>
        </w:tc>
        <w:tc>
          <w:tcPr>
            <w:tcW w:w="1710" w:type="dxa"/>
            <w:shd w:val="clear" w:color="auto" w:fill="D9D9D9" w:themeFill="background1" w:themeFillShade="D9"/>
            <w:vAlign w:val="bottom"/>
          </w:tcPr>
          <w:p w14:paraId="2C0D7796" w14:textId="77777777" w:rsidR="00B128AE" w:rsidRPr="00662679" w:rsidRDefault="00B128AE" w:rsidP="004E61A5">
            <w:pPr>
              <w:jc w:val="center"/>
              <w:rPr>
                <w:b/>
                <w:sz w:val="22"/>
                <w:szCs w:val="22"/>
              </w:rPr>
            </w:pPr>
            <w:r w:rsidRPr="00662679">
              <w:rPr>
                <w:b/>
                <w:sz w:val="22"/>
                <w:szCs w:val="22"/>
              </w:rPr>
              <w:t xml:space="preserve"> Fuel Type</w:t>
            </w:r>
          </w:p>
        </w:tc>
        <w:tc>
          <w:tcPr>
            <w:tcW w:w="1620" w:type="dxa"/>
            <w:shd w:val="clear" w:color="auto" w:fill="D9D9D9" w:themeFill="background1" w:themeFillShade="D9"/>
            <w:vAlign w:val="bottom"/>
          </w:tcPr>
          <w:p w14:paraId="1BB187D7" w14:textId="77777777" w:rsidR="00B128AE" w:rsidRPr="00662679" w:rsidRDefault="00B128AE" w:rsidP="00210C11">
            <w:pPr>
              <w:jc w:val="center"/>
              <w:rPr>
                <w:b/>
                <w:sz w:val="22"/>
                <w:szCs w:val="22"/>
              </w:rPr>
            </w:pPr>
            <w:r w:rsidRPr="00662679">
              <w:rPr>
                <w:b/>
                <w:sz w:val="22"/>
                <w:szCs w:val="22"/>
              </w:rPr>
              <w:t>Firing Rate</w:t>
            </w:r>
          </w:p>
          <w:p w14:paraId="04B50E7D" w14:textId="77777777" w:rsidR="00B128AE" w:rsidRPr="00662679" w:rsidRDefault="00B128AE" w:rsidP="00210C11">
            <w:pPr>
              <w:jc w:val="center"/>
              <w:rPr>
                <w:b/>
                <w:sz w:val="22"/>
                <w:szCs w:val="22"/>
              </w:rPr>
            </w:pPr>
            <w:r w:rsidRPr="00662679">
              <w:rPr>
                <w:b/>
                <w:sz w:val="22"/>
                <w:szCs w:val="22"/>
              </w:rPr>
              <w:t>(gal/</w:t>
            </w:r>
            <w:proofErr w:type="spellStart"/>
            <w:r w:rsidRPr="00662679">
              <w:rPr>
                <w:b/>
                <w:sz w:val="22"/>
                <w:szCs w:val="22"/>
              </w:rPr>
              <w:t>hr</w:t>
            </w:r>
            <w:proofErr w:type="spellEnd"/>
            <w:r w:rsidRPr="00662679">
              <w:rPr>
                <w:b/>
                <w:sz w:val="22"/>
                <w:szCs w:val="22"/>
              </w:rPr>
              <w:t>)</w:t>
            </w:r>
          </w:p>
        </w:tc>
        <w:tc>
          <w:tcPr>
            <w:tcW w:w="990" w:type="dxa"/>
            <w:shd w:val="clear" w:color="auto" w:fill="D9D9D9" w:themeFill="background1" w:themeFillShade="D9"/>
            <w:vAlign w:val="bottom"/>
          </w:tcPr>
          <w:p w14:paraId="30F97A8C" w14:textId="77777777" w:rsidR="00B128AE" w:rsidRPr="00662679" w:rsidRDefault="00B128AE" w:rsidP="00261D63">
            <w:pPr>
              <w:jc w:val="center"/>
              <w:rPr>
                <w:b/>
                <w:sz w:val="22"/>
                <w:szCs w:val="22"/>
              </w:rPr>
            </w:pPr>
            <w:r w:rsidRPr="00662679">
              <w:rPr>
                <w:b/>
                <w:sz w:val="22"/>
                <w:szCs w:val="22"/>
              </w:rPr>
              <w:t>Date of Manuf.</w:t>
            </w:r>
          </w:p>
        </w:tc>
        <w:tc>
          <w:tcPr>
            <w:tcW w:w="990" w:type="dxa"/>
            <w:shd w:val="clear" w:color="auto" w:fill="D9D9D9" w:themeFill="background1" w:themeFillShade="D9"/>
            <w:vAlign w:val="bottom"/>
          </w:tcPr>
          <w:p w14:paraId="6DDF1BFB" w14:textId="77777777" w:rsidR="00B128AE" w:rsidRPr="00662679" w:rsidRDefault="00B128AE" w:rsidP="00210C11">
            <w:pPr>
              <w:pStyle w:val="Heading3"/>
              <w:numPr>
                <w:ilvl w:val="0"/>
                <w:numId w:val="0"/>
              </w:numPr>
              <w:jc w:val="center"/>
              <w:rPr>
                <w:b/>
                <w:sz w:val="22"/>
                <w:szCs w:val="22"/>
                <w:u w:val="none"/>
              </w:rPr>
            </w:pPr>
            <w:r w:rsidRPr="00662679">
              <w:rPr>
                <w:b/>
                <w:sz w:val="22"/>
                <w:szCs w:val="22"/>
                <w:u w:val="none"/>
              </w:rPr>
              <w:t>Date of Install.</w:t>
            </w:r>
          </w:p>
        </w:tc>
      </w:tr>
      <w:tr w:rsidR="00B128AE" w14:paraId="2147F705" w14:textId="77777777" w:rsidTr="00897030">
        <w:trPr>
          <w:trHeight w:val="75"/>
          <w:jc w:val="center"/>
        </w:trPr>
        <w:tc>
          <w:tcPr>
            <w:tcW w:w="1445" w:type="dxa"/>
            <w:vAlign w:val="center"/>
          </w:tcPr>
          <w:p w14:paraId="1ED3F021" w14:textId="02D31931" w:rsidR="00B128AE" w:rsidRPr="000F2AF1" w:rsidRDefault="00E53AFE" w:rsidP="00DD6E2D">
            <w:pPr>
              <w:jc w:val="center"/>
              <w:rPr>
                <w:sz w:val="22"/>
                <w:szCs w:val="22"/>
              </w:rPr>
            </w:pPr>
            <w:r>
              <w:rPr>
                <w:sz w:val="22"/>
                <w:szCs w:val="22"/>
              </w:rPr>
              <w:t>Generator #1</w:t>
            </w:r>
          </w:p>
        </w:tc>
        <w:tc>
          <w:tcPr>
            <w:tcW w:w="1757" w:type="dxa"/>
            <w:vAlign w:val="center"/>
          </w:tcPr>
          <w:p w14:paraId="43AFE7F9" w14:textId="51FFD7CD" w:rsidR="00B128AE" w:rsidRPr="000F2AF1" w:rsidRDefault="00E53AFE" w:rsidP="00897030">
            <w:pPr>
              <w:ind w:left="136"/>
              <w:rPr>
                <w:sz w:val="22"/>
                <w:szCs w:val="22"/>
              </w:rPr>
            </w:pPr>
            <w:r>
              <w:rPr>
                <w:sz w:val="22"/>
                <w:szCs w:val="22"/>
              </w:rPr>
              <w:t>9.9 MMBtu/</w:t>
            </w:r>
            <w:proofErr w:type="spellStart"/>
            <w:r>
              <w:rPr>
                <w:sz w:val="22"/>
                <w:szCs w:val="22"/>
              </w:rPr>
              <w:t>hr</w:t>
            </w:r>
            <w:proofErr w:type="spellEnd"/>
          </w:p>
        </w:tc>
        <w:tc>
          <w:tcPr>
            <w:tcW w:w="1620" w:type="dxa"/>
            <w:vAlign w:val="center"/>
          </w:tcPr>
          <w:p w14:paraId="4E6307F5" w14:textId="054C8EBE" w:rsidR="00B128AE" w:rsidRPr="000F2AF1" w:rsidRDefault="00E53AFE" w:rsidP="00DD6E2D">
            <w:pPr>
              <w:jc w:val="center"/>
              <w:rPr>
                <w:sz w:val="22"/>
                <w:szCs w:val="22"/>
              </w:rPr>
            </w:pPr>
            <w:r>
              <w:rPr>
                <w:sz w:val="22"/>
                <w:szCs w:val="22"/>
              </w:rPr>
              <w:t>1,000 kW</w:t>
            </w:r>
          </w:p>
        </w:tc>
        <w:tc>
          <w:tcPr>
            <w:tcW w:w="1710" w:type="dxa"/>
            <w:vAlign w:val="center"/>
          </w:tcPr>
          <w:p w14:paraId="48352D4D" w14:textId="1074FDAE" w:rsidR="00B128AE" w:rsidRPr="000F2AF1" w:rsidRDefault="00E53AFE" w:rsidP="00DD6E2D">
            <w:pPr>
              <w:jc w:val="center"/>
              <w:rPr>
                <w:sz w:val="22"/>
                <w:szCs w:val="22"/>
              </w:rPr>
            </w:pPr>
            <w:r>
              <w:rPr>
                <w:sz w:val="22"/>
                <w:szCs w:val="22"/>
              </w:rPr>
              <w:t>Distillate Fuel</w:t>
            </w:r>
          </w:p>
        </w:tc>
        <w:tc>
          <w:tcPr>
            <w:tcW w:w="1620" w:type="dxa"/>
            <w:vAlign w:val="center"/>
          </w:tcPr>
          <w:p w14:paraId="3B17C102" w14:textId="2B13AEE4" w:rsidR="00B128AE" w:rsidRPr="000F2AF1" w:rsidRDefault="00E53AFE" w:rsidP="00DD6E2D">
            <w:pPr>
              <w:jc w:val="center"/>
              <w:rPr>
                <w:sz w:val="22"/>
                <w:szCs w:val="22"/>
              </w:rPr>
            </w:pPr>
            <w:r>
              <w:rPr>
                <w:sz w:val="22"/>
                <w:szCs w:val="22"/>
              </w:rPr>
              <w:t>71.5</w:t>
            </w:r>
          </w:p>
        </w:tc>
        <w:tc>
          <w:tcPr>
            <w:tcW w:w="990" w:type="dxa"/>
            <w:vAlign w:val="center"/>
          </w:tcPr>
          <w:p w14:paraId="195441FF" w14:textId="5C038676" w:rsidR="00B128AE" w:rsidRPr="000F2AF1" w:rsidRDefault="00E53AFE" w:rsidP="00DD6E2D">
            <w:pPr>
              <w:jc w:val="center"/>
              <w:rPr>
                <w:sz w:val="22"/>
                <w:szCs w:val="22"/>
              </w:rPr>
            </w:pPr>
            <w:r>
              <w:rPr>
                <w:sz w:val="22"/>
                <w:szCs w:val="22"/>
              </w:rPr>
              <w:t>2025</w:t>
            </w:r>
          </w:p>
        </w:tc>
        <w:tc>
          <w:tcPr>
            <w:tcW w:w="990" w:type="dxa"/>
            <w:vAlign w:val="center"/>
          </w:tcPr>
          <w:p w14:paraId="50748610" w14:textId="0A86024C" w:rsidR="00B128AE" w:rsidRPr="000F2AF1" w:rsidRDefault="00E53AFE" w:rsidP="00DD6E2D">
            <w:pPr>
              <w:jc w:val="center"/>
              <w:rPr>
                <w:sz w:val="22"/>
                <w:szCs w:val="22"/>
              </w:rPr>
            </w:pPr>
            <w:r>
              <w:rPr>
                <w:sz w:val="22"/>
                <w:szCs w:val="22"/>
              </w:rPr>
              <w:t>2026</w:t>
            </w:r>
          </w:p>
        </w:tc>
      </w:tr>
      <w:tr w:rsidR="00B128AE" w14:paraId="54247ED3" w14:textId="77777777" w:rsidTr="00897030">
        <w:trPr>
          <w:jc w:val="center"/>
        </w:trPr>
        <w:tc>
          <w:tcPr>
            <w:tcW w:w="1445" w:type="dxa"/>
            <w:vAlign w:val="center"/>
          </w:tcPr>
          <w:p w14:paraId="60DC412C" w14:textId="08F6E444" w:rsidR="00B128AE" w:rsidRPr="000F2AF1" w:rsidRDefault="00E53AFE" w:rsidP="00DD6E2D">
            <w:pPr>
              <w:jc w:val="center"/>
              <w:rPr>
                <w:sz w:val="22"/>
                <w:szCs w:val="22"/>
              </w:rPr>
            </w:pPr>
            <w:r>
              <w:rPr>
                <w:sz w:val="22"/>
                <w:szCs w:val="22"/>
              </w:rPr>
              <w:t>Generator #2</w:t>
            </w:r>
          </w:p>
        </w:tc>
        <w:tc>
          <w:tcPr>
            <w:tcW w:w="1757" w:type="dxa"/>
            <w:vAlign w:val="center"/>
          </w:tcPr>
          <w:p w14:paraId="7CBD2453" w14:textId="6586B217" w:rsidR="00B128AE" w:rsidRPr="000F2AF1" w:rsidRDefault="00E53AFE" w:rsidP="00897030">
            <w:pPr>
              <w:ind w:left="136"/>
              <w:rPr>
                <w:sz w:val="22"/>
                <w:szCs w:val="22"/>
              </w:rPr>
            </w:pPr>
            <w:r>
              <w:rPr>
                <w:sz w:val="22"/>
                <w:szCs w:val="22"/>
              </w:rPr>
              <w:t>0.96 MMBtu/</w:t>
            </w:r>
            <w:proofErr w:type="spellStart"/>
            <w:r>
              <w:rPr>
                <w:sz w:val="22"/>
                <w:szCs w:val="22"/>
              </w:rPr>
              <w:t>hr</w:t>
            </w:r>
            <w:proofErr w:type="spellEnd"/>
          </w:p>
        </w:tc>
        <w:tc>
          <w:tcPr>
            <w:tcW w:w="1620" w:type="dxa"/>
            <w:vAlign w:val="center"/>
          </w:tcPr>
          <w:p w14:paraId="7F278134" w14:textId="494FBDFD" w:rsidR="00B128AE" w:rsidRPr="000F2AF1" w:rsidRDefault="00E53AFE" w:rsidP="00DD6E2D">
            <w:pPr>
              <w:jc w:val="center"/>
              <w:rPr>
                <w:sz w:val="22"/>
                <w:szCs w:val="22"/>
              </w:rPr>
            </w:pPr>
            <w:r>
              <w:rPr>
                <w:sz w:val="22"/>
                <w:szCs w:val="22"/>
              </w:rPr>
              <w:t>83 kW</w:t>
            </w:r>
          </w:p>
        </w:tc>
        <w:tc>
          <w:tcPr>
            <w:tcW w:w="1710" w:type="dxa"/>
            <w:vAlign w:val="center"/>
          </w:tcPr>
          <w:p w14:paraId="2994AE3D" w14:textId="45EFBF8B" w:rsidR="00B128AE" w:rsidRPr="000F2AF1" w:rsidRDefault="00E53AFE" w:rsidP="00DD6E2D">
            <w:pPr>
              <w:jc w:val="center"/>
              <w:rPr>
                <w:sz w:val="22"/>
                <w:szCs w:val="22"/>
              </w:rPr>
            </w:pPr>
            <w:r>
              <w:rPr>
                <w:sz w:val="22"/>
                <w:szCs w:val="22"/>
              </w:rPr>
              <w:t>Distillate Fuel</w:t>
            </w:r>
          </w:p>
        </w:tc>
        <w:tc>
          <w:tcPr>
            <w:tcW w:w="1620" w:type="dxa"/>
            <w:vAlign w:val="center"/>
          </w:tcPr>
          <w:p w14:paraId="47ED27DC" w14:textId="48E1BBA0" w:rsidR="00B128AE" w:rsidRPr="000F2AF1" w:rsidRDefault="00E53AFE" w:rsidP="00DD6E2D">
            <w:pPr>
              <w:jc w:val="center"/>
              <w:rPr>
                <w:sz w:val="22"/>
                <w:szCs w:val="22"/>
              </w:rPr>
            </w:pPr>
            <w:r>
              <w:rPr>
                <w:sz w:val="22"/>
                <w:szCs w:val="22"/>
              </w:rPr>
              <w:t>6.9</w:t>
            </w:r>
          </w:p>
        </w:tc>
        <w:tc>
          <w:tcPr>
            <w:tcW w:w="990" w:type="dxa"/>
            <w:vAlign w:val="center"/>
          </w:tcPr>
          <w:p w14:paraId="701F0A9F" w14:textId="1E756F03" w:rsidR="00B128AE" w:rsidRPr="000F2AF1" w:rsidRDefault="00E53AFE" w:rsidP="00DD6E2D">
            <w:pPr>
              <w:jc w:val="center"/>
              <w:rPr>
                <w:sz w:val="22"/>
                <w:szCs w:val="22"/>
              </w:rPr>
            </w:pPr>
            <w:r>
              <w:rPr>
                <w:sz w:val="22"/>
                <w:szCs w:val="22"/>
              </w:rPr>
              <w:t>202</w:t>
            </w:r>
            <w:r w:rsidR="00300008">
              <w:rPr>
                <w:sz w:val="22"/>
                <w:szCs w:val="22"/>
              </w:rPr>
              <w:t>4</w:t>
            </w:r>
          </w:p>
        </w:tc>
        <w:tc>
          <w:tcPr>
            <w:tcW w:w="990" w:type="dxa"/>
            <w:vAlign w:val="center"/>
          </w:tcPr>
          <w:p w14:paraId="71E75E95" w14:textId="36E0BB6D" w:rsidR="00B128AE" w:rsidRPr="000F2AF1" w:rsidRDefault="00E53AFE" w:rsidP="00DD6E2D">
            <w:pPr>
              <w:jc w:val="center"/>
              <w:rPr>
                <w:sz w:val="22"/>
                <w:szCs w:val="22"/>
              </w:rPr>
            </w:pPr>
            <w:r>
              <w:rPr>
                <w:sz w:val="22"/>
                <w:szCs w:val="22"/>
              </w:rPr>
              <w:t>2026</w:t>
            </w:r>
          </w:p>
        </w:tc>
      </w:tr>
    </w:tbl>
    <w:p w14:paraId="172258DE" w14:textId="77777777" w:rsidR="001D7ACF" w:rsidRDefault="001D7ACF">
      <w:pPr>
        <w:jc w:val="both"/>
        <w:rPr>
          <w:sz w:val="24"/>
        </w:rPr>
      </w:pPr>
      <w:bookmarkStart w:id="1" w:name="_Hlk502825697"/>
    </w:p>
    <w:p w14:paraId="1BB80BED" w14:textId="66701C7D" w:rsidR="00C609E8" w:rsidRPr="009F5868" w:rsidRDefault="00E53AFE" w:rsidP="001D7ACF">
      <w:pPr>
        <w:ind w:left="720"/>
        <w:jc w:val="both"/>
        <w:rPr>
          <w:sz w:val="24"/>
        </w:rPr>
      </w:pPr>
      <w:bookmarkStart w:id="2" w:name="_Hlk502823339"/>
      <w:r>
        <w:rPr>
          <w:sz w:val="24"/>
        </w:rPr>
        <w:t>N</w:t>
      </w:r>
      <w:r w:rsidR="00897030">
        <w:rPr>
          <w:sz w:val="24"/>
        </w:rPr>
        <w:t>ortheastern</w:t>
      </w:r>
      <w:r w:rsidR="00C8187E" w:rsidRPr="009F5868">
        <w:rPr>
          <w:sz w:val="24"/>
        </w:rPr>
        <w:t xml:space="preserve"> may operate small stationary engines smaller than 0.5 MMBtu/hr. These engines are considered insignificant activities and are not required to be included in this license. However, they are still subject to applicable State and Federal regulations. More </w:t>
      </w:r>
      <w:r w:rsidR="00C8187E" w:rsidRPr="009F5868">
        <w:rPr>
          <w:sz w:val="24"/>
        </w:rPr>
        <w:lastRenderedPageBreak/>
        <w:t xml:space="preserve">information </w:t>
      </w:r>
      <w:r w:rsidR="000B28D9" w:rsidRPr="009F5868">
        <w:rPr>
          <w:sz w:val="24"/>
        </w:rPr>
        <w:t>regarding</w:t>
      </w:r>
      <w:r w:rsidR="00C8187E" w:rsidRPr="009F5868">
        <w:rPr>
          <w:sz w:val="24"/>
        </w:rPr>
        <w:t xml:space="preserve"> requirements for small stationary engines is availa</w:t>
      </w:r>
      <w:r w:rsidR="00C609E8" w:rsidRPr="009F5868">
        <w:rPr>
          <w:sz w:val="24"/>
        </w:rPr>
        <w:t>ble on the Department’s website at the link below.</w:t>
      </w:r>
    </w:p>
    <w:p w14:paraId="7EAE3D50" w14:textId="77777777" w:rsidR="00A32F71" w:rsidRPr="009F5868" w:rsidRDefault="00C609E8" w:rsidP="001D7ACF">
      <w:pPr>
        <w:ind w:left="720"/>
        <w:jc w:val="both"/>
        <w:rPr>
          <w:sz w:val="24"/>
        </w:rPr>
      </w:pPr>
      <w:hyperlink r:id="rId8" w:history="1">
        <w:r w:rsidRPr="009F5868">
          <w:rPr>
            <w:rStyle w:val="Hyperlink"/>
            <w:sz w:val="24"/>
          </w:rPr>
          <w:t>http://www.maine.gov/dep/air/publications/docs/SmallRICEGuidance.pdf</w:t>
        </w:r>
      </w:hyperlink>
      <w:r w:rsidRPr="009F5868">
        <w:rPr>
          <w:sz w:val="24"/>
        </w:rPr>
        <w:t xml:space="preserve"> </w:t>
      </w:r>
    </w:p>
    <w:p w14:paraId="7D732B6E" w14:textId="77777777" w:rsidR="00A32F71" w:rsidRPr="009F5868" w:rsidRDefault="00A32F71" w:rsidP="001D7ACF">
      <w:pPr>
        <w:ind w:left="720"/>
        <w:jc w:val="both"/>
        <w:rPr>
          <w:sz w:val="24"/>
        </w:rPr>
      </w:pPr>
    </w:p>
    <w:bookmarkEnd w:id="1"/>
    <w:bookmarkEnd w:id="2"/>
    <w:p w14:paraId="7B2BA528" w14:textId="5712DAC9" w:rsidR="00561F13" w:rsidRPr="00561F13" w:rsidRDefault="00E53AFE" w:rsidP="00561F13">
      <w:pPr>
        <w:ind w:left="720"/>
        <w:jc w:val="both"/>
        <w:rPr>
          <w:sz w:val="24"/>
          <w:szCs w:val="24"/>
        </w:rPr>
      </w:pPr>
      <w:r>
        <w:rPr>
          <w:sz w:val="24"/>
          <w:szCs w:val="24"/>
        </w:rPr>
        <w:t>N</w:t>
      </w:r>
      <w:r w:rsidR="00897030">
        <w:rPr>
          <w:sz w:val="24"/>
          <w:szCs w:val="24"/>
        </w:rPr>
        <w:t>ortheastern</w:t>
      </w:r>
      <w:r>
        <w:rPr>
          <w:sz w:val="24"/>
          <w:szCs w:val="24"/>
        </w:rPr>
        <w:t xml:space="preserve"> plans to install an underground</w:t>
      </w:r>
      <w:r w:rsidR="00897030">
        <w:rPr>
          <w:sz w:val="24"/>
          <w:szCs w:val="24"/>
        </w:rPr>
        <w:t xml:space="preserve"> distillate fuel</w:t>
      </w:r>
      <w:r>
        <w:rPr>
          <w:sz w:val="24"/>
          <w:szCs w:val="24"/>
        </w:rPr>
        <w:t xml:space="preserve"> storage </w:t>
      </w:r>
      <w:proofErr w:type="gramStart"/>
      <w:r>
        <w:rPr>
          <w:sz w:val="24"/>
          <w:szCs w:val="24"/>
        </w:rPr>
        <w:t>tank</w:t>
      </w:r>
      <w:proofErr w:type="gramEnd"/>
      <w:r>
        <w:rPr>
          <w:sz w:val="24"/>
          <w:szCs w:val="24"/>
        </w:rPr>
        <w:t xml:space="preserve"> less than 10,000</w:t>
      </w:r>
      <w:r w:rsidR="00897030">
        <w:rPr>
          <w:sz w:val="24"/>
          <w:szCs w:val="24"/>
        </w:rPr>
        <w:t> </w:t>
      </w:r>
      <w:r>
        <w:rPr>
          <w:sz w:val="24"/>
          <w:szCs w:val="24"/>
        </w:rPr>
        <w:t>gallons in capacity.</w:t>
      </w:r>
      <w:r w:rsidR="00561F13" w:rsidRPr="00561F13">
        <w:rPr>
          <w:sz w:val="24"/>
          <w:szCs w:val="24"/>
        </w:rPr>
        <w:t xml:space="preserve"> </w:t>
      </w:r>
      <w:r>
        <w:rPr>
          <w:sz w:val="24"/>
          <w:szCs w:val="24"/>
        </w:rPr>
        <w:t>Pursuant to 06-096 C.M.R. ch. 115, Appendix B § (B)(7)</w:t>
      </w:r>
      <w:r w:rsidR="00561F13" w:rsidRPr="00561F13">
        <w:rPr>
          <w:sz w:val="24"/>
          <w:szCs w:val="24"/>
        </w:rPr>
        <w:t xml:space="preserve">, it is considered an insignificant activity and mentioned for completeness purposes only. </w:t>
      </w:r>
    </w:p>
    <w:p w14:paraId="546BE910" w14:textId="77777777" w:rsidR="00561F13" w:rsidRDefault="00561F13">
      <w:pPr>
        <w:jc w:val="both"/>
        <w:rPr>
          <w:sz w:val="24"/>
        </w:rPr>
      </w:pPr>
    </w:p>
    <w:p w14:paraId="4AD8FCA1" w14:textId="77777777" w:rsidR="00197C72" w:rsidRDefault="00197C72" w:rsidP="005824D1">
      <w:pPr>
        <w:pStyle w:val="Heading3"/>
      </w:pPr>
      <w:r>
        <w:t>Definitions</w:t>
      </w:r>
    </w:p>
    <w:p w14:paraId="016082F6" w14:textId="77777777" w:rsidR="00197C72" w:rsidRPr="00197C72" w:rsidRDefault="00197C72" w:rsidP="00197C72">
      <w:pPr>
        <w:rPr>
          <w:sz w:val="24"/>
          <w:szCs w:val="24"/>
        </w:rPr>
      </w:pPr>
    </w:p>
    <w:p w14:paraId="6179F9F1"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1F767216"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w:t>
      </w:r>
      <w:proofErr w:type="gramStart"/>
      <w:r w:rsidRPr="00B348D0">
        <w:rPr>
          <w:color w:val="000000"/>
          <w:sz w:val="24"/>
          <w:szCs w:val="24"/>
          <w:shd w:val="clear" w:color="auto" w:fill="FFFFFF"/>
        </w:rPr>
        <w:t>D396;</w:t>
      </w:r>
      <w:proofErr w:type="gramEnd"/>
    </w:p>
    <w:p w14:paraId="1E03802C"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 xml:space="preserve">Diesel fuel oil numbers 1 or 2, as defined in ASTM </w:t>
      </w:r>
      <w:proofErr w:type="gramStart"/>
      <w:r w:rsidRPr="00B348D0">
        <w:rPr>
          <w:color w:val="000000"/>
          <w:sz w:val="24"/>
          <w:szCs w:val="24"/>
          <w:shd w:val="clear" w:color="auto" w:fill="FFFFFF"/>
        </w:rPr>
        <w:t>D975;</w:t>
      </w:r>
      <w:proofErr w:type="gramEnd"/>
    </w:p>
    <w:p w14:paraId="0758EB15"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w:t>
      </w:r>
      <w:proofErr w:type="gramStart"/>
      <w:r w:rsidRPr="00B348D0">
        <w:rPr>
          <w:color w:val="000000"/>
          <w:sz w:val="24"/>
          <w:szCs w:val="24"/>
          <w:shd w:val="clear" w:color="auto" w:fill="FFFFFF"/>
        </w:rPr>
        <w:t>D3699;</w:t>
      </w:r>
      <w:proofErr w:type="gramEnd"/>
    </w:p>
    <w:p w14:paraId="793F48F6"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0BDEF863" w14:textId="77777777" w:rsidR="00376167" w:rsidRPr="00B348D0" w:rsidRDefault="00376167" w:rsidP="005C568C">
      <w:pPr>
        <w:numPr>
          <w:ilvl w:val="0"/>
          <w:numId w:val="69"/>
        </w:numPr>
        <w:jc w:val="both"/>
        <w:rPr>
          <w:sz w:val="24"/>
          <w:szCs w:val="24"/>
        </w:rPr>
      </w:pPr>
      <w:r w:rsidRPr="00B348D0">
        <w:rPr>
          <w:sz w:val="24"/>
          <w:szCs w:val="24"/>
          <w:shd w:val="clear" w:color="auto" w:fill="FFFFFF"/>
        </w:rPr>
        <w:t>Biodiesel blends, as defined in ASTM D7467.</w:t>
      </w:r>
    </w:p>
    <w:p w14:paraId="03EB9A8D" w14:textId="77777777" w:rsidR="00197C72" w:rsidRDefault="00197C72" w:rsidP="00197C72">
      <w:pPr>
        <w:rPr>
          <w:sz w:val="24"/>
          <w:szCs w:val="24"/>
        </w:rPr>
      </w:pPr>
    </w:p>
    <w:p w14:paraId="339014ED"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397F864A" w14:textId="77777777" w:rsidR="000062AB" w:rsidRDefault="000062AB" w:rsidP="00E24CFA">
      <w:pPr>
        <w:jc w:val="both"/>
        <w:rPr>
          <w:sz w:val="24"/>
          <w:szCs w:val="24"/>
        </w:rPr>
      </w:pPr>
    </w:p>
    <w:p w14:paraId="2AC94578" w14:textId="77777777" w:rsidR="00044AA4" w:rsidRPr="00CC1814" w:rsidRDefault="00044AA4" w:rsidP="005824D1">
      <w:pPr>
        <w:pStyle w:val="Heading3"/>
      </w:pPr>
      <w:r w:rsidRPr="00CC1814">
        <w:t>Application Classification</w:t>
      </w:r>
    </w:p>
    <w:p w14:paraId="067AE10B" w14:textId="77777777" w:rsidR="00044AA4" w:rsidRDefault="00044AA4">
      <w:pPr>
        <w:rPr>
          <w:sz w:val="24"/>
        </w:rPr>
      </w:pPr>
    </w:p>
    <w:p w14:paraId="33180B4F"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3C76A4E6" w14:textId="77777777" w:rsidR="00552D10" w:rsidRDefault="00552D10">
      <w:pPr>
        <w:rPr>
          <w:sz w:val="24"/>
        </w:rPr>
      </w:pPr>
    </w:p>
    <w:p w14:paraId="7EB19F0B" w14:textId="77777777" w:rsidR="00044AA4" w:rsidRDefault="004B1C24">
      <w:pPr>
        <w:pStyle w:val="BodyTextIndent"/>
        <w:jc w:val="both"/>
      </w:pPr>
      <w:r>
        <w:t>A</w:t>
      </w:r>
      <w:r w:rsidR="00044AA4">
        <w:t xml:space="preserve"> new source is considered a major source based on </w:t>
      </w:r>
      <w:proofErr w:type="gramStart"/>
      <w:r w:rsidR="00044AA4">
        <w:t>whether or not</w:t>
      </w:r>
      <w:proofErr w:type="gramEnd"/>
      <w:r w:rsidR="00044AA4">
        <w:t xml:space="preserve"> </w:t>
      </w:r>
      <w:r>
        <w:t xml:space="preserve">total licensed annual </w:t>
      </w:r>
      <w:r w:rsidR="00044AA4">
        <w:t>emissions exceed the “Significant Emission</w:t>
      </w:r>
      <w:r w:rsidR="00824C1E">
        <w:t>s</w:t>
      </w:r>
      <w:r>
        <w:t>”</w:t>
      </w:r>
      <w:r w:rsidR="00044AA4">
        <w:t xml:space="preserve"> </w:t>
      </w:r>
      <w:r>
        <w:t>l</w:t>
      </w:r>
      <w:r w:rsidR="00044AA4">
        <w:t>evel</w:t>
      </w:r>
      <w:r>
        <w:t>s</w:t>
      </w:r>
      <w:r w:rsidR="00044AA4">
        <w:t xml:space="preserve"> as defined i</w:t>
      </w:r>
      <w:r w:rsidR="000759E6">
        <w:t xml:space="preserve">n the Department’s </w:t>
      </w:r>
      <w:r w:rsidRPr="004B1C24">
        <w:rPr>
          <w:i/>
        </w:rPr>
        <w:t>Definition</w:t>
      </w:r>
      <w:r w:rsidR="00E3531C">
        <w:rPr>
          <w:i/>
        </w:rPr>
        <w:t>s</w:t>
      </w:r>
      <w:r w:rsidRPr="004B1C24">
        <w:rPr>
          <w:i/>
        </w:rPr>
        <w:t xml:space="preserve"> R</w:t>
      </w:r>
      <w:r w:rsidR="000759E6" w:rsidRPr="004B1C24">
        <w:rPr>
          <w:i/>
        </w:rPr>
        <w:t>egulation</w:t>
      </w:r>
      <w:r>
        <w:t xml:space="preserve">, 06-096 </w:t>
      </w:r>
      <w:r w:rsidR="00514B76">
        <w:t>Code of Maine Rules (</w:t>
      </w:r>
      <w:r>
        <w:t>C</w:t>
      </w:r>
      <w:r w:rsidR="00976B0E">
        <w:t>.</w:t>
      </w:r>
      <w:r>
        <w:t>M</w:t>
      </w:r>
      <w:r w:rsidR="00976B0E">
        <w:t>.</w:t>
      </w:r>
      <w:r>
        <w:t>R</w:t>
      </w:r>
      <w:r w:rsidR="00976B0E">
        <w:t>.</w:t>
      </w:r>
      <w:r w:rsidR="00514B76">
        <w:t>)</w:t>
      </w:r>
      <w:r w:rsidR="00976B0E">
        <w:t xml:space="preserve"> ch. 100</w:t>
      </w:r>
      <w:r w:rsidR="000759E6">
        <w:t>.</w:t>
      </w:r>
    </w:p>
    <w:p w14:paraId="7F2F6D17" w14:textId="77777777" w:rsidR="00044AA4" w:rsidRDefault="00044AA4">
      <w:pPr>
        <w:pStyle w:val="BodyTextIndent"/>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60"/>
        <w:gridCol w:w="2700"/>
        <w:gridCol w:w="2003"/>
      </w:tblGrid>
      <w:tr w:rsidR="00130D5D" w14:paraId="1FDE8BEE" w14:textId="77777777" w:rsidTr="000A60BA">
        <w:trPr>
          <w:tblHeader/>
          <w:jc w:val="center"/>
        </w:trPr>
        <w:tc>
          <w:tcPr>
            <w:tcW w:w="1260" w:type="dxa"/>
            <w:shd w:val="clear" w:color="auto" w:fill="D9D9D9" w:themeFill="background1" w:themeFillShade="D9"/>
            <w:vAlign w:val="bottom"/>
          </w:tcPr>
          <w:p w14:paraId="5979148C" w14:textId="77777777" w:rsidR="00130D5D" w:rsidRPr="00B128AE" w:rsidRDefault="00130D5D" w:rsidP="00261D63">
            <w:pPr>
              <w:pStyle w:val="BodyTextIndent"/>
              <w:ind w:left="0"/>
              <w:jc w:val="center"/>
              <w:rPr>
                <w:b/>
                <w:sz w:val="22"/>
                <w:szCs w:val="22"/>
              </w:rPr>
            </w:pPr>
          </w:p>
          <w:p w14:paraId="15162F2E" w14:textId="77777777" w:rsidR="00130D5D" w:rsidRPr="00B128AE" w:rsidRDefault="00130D5D" w:rsidP="00261D63">
            <w:pPr>
              <w:pStyle w:val="BodyTextIndent"/>
              <w:ind w:left="0"/>
              <w:jc w:val="center"/>
              <w:rPr>
                <w:b/>
                <w:sz w:val="22"/>
                <w:szCs w:val="22"/>
              </w:rPr>
            </w:pPr>
            <w:r w:rsidRPr="00B128AE">
              <w:rPr>
                <w:b/>
                <w:sz w:val="22"/>
                <w:szCs w:val="22"/>
              </w:rPr>
              <w:t>Pollutant</w:t>
            </w:r>
          </w:p>
        </w:tc>
        <w:tc>
          <w:tcPr>
            <w:tcW w:w="2700" w:type="dxa"/>
            <w:shd w:val="clear" w:color="auto" w:fill="D9D9D9" w:themeFill="background1" w:themeFillShade="D9"/>
            <w:vAlign w:val="bottom"/>
          </w:tcPr>
          <w:p w14:paraId="0F1CB5E8" w14:textId="77777777" w:rsidR="00130D5D" w:rsidRPr="00B128AE" w:rsidRDefault="00130D5D" w:rsidP="0036199E">
            <w:pPr>
              <w:pStyle w:val="BodyTextIndent"/>
              <w:ind w:left="0"/>
              <w:jc w:val="center"/>
              <w:rPr>
                <w:b/>
                <w:sz w:val="22"/>
                <w:szCs w:val="22"/>
              </w:rPr>
            </w:pPr>
            <w:r w:rsidRPr="00B128AE">
              <w:rPr>
                <w:b/>
                <w:sz w:val="22"/>
                <w:szCs w:val="22"/>
              </w:rPr>
              <w:t>Total Licensed Annual Emissions</w:t>
            </w:r>
            <w:r w:rsidR="0036199E" w:rsidRPr="00B128AE">
              <w:rPr>
                <w:b/>
                <w:sz w:val="22"/>
                <w:szCs w:val="22"/>
              </w:rPr>
              <w:t xml:space="preserve"> </w:t>
            </w:r>
            <w:r w:rsidRPr="00B128AE">
              <w:rPr>
                <w:b/>
                <w:sz w:val="22"/>
                <w:szCs w:val="22"/>
              </w:rPr>
              <w:t>(</w:t>
            </w:r>
            <w:proofErr w:type="spellStart"/>
            <w:r w:rsidR="00D269FE" w:rsidRPr="00B128AE">
              <w:rPr>
                <w:b/>
                <w:sz w:val="22"/>
                <w:szCs w:val="22"/>
              </w:rPr>
              <w:t>tpy</w:t>
            </w:r>
            <w:proofErr w:type="spellEnd"/>
            <w:r w:rsidRPr="00B128AE">
              <w:rPr>
                <w:b/>
                <w:sz w:val="22"/>
                <w:szCs w:val="22"/>
              </w:rPr>
              <w:t>)</w:t>
            </w:r>
          </w:p>
        </w:tc>
        <w:tc>
          <w:tcPr>
            <w:tcW w:w="2003" w:type="dxa"/>
            <w:shd w:val="clear" w:color="auto" w:fill="D9D9D9" w:themeFill="background1" w:themeFillShade="D9"/>
            <w:vAlign w:val="bottom"/>
          </w:tcPr>
          <w:p w14:paraId="5B7B2F9D" w14:textId="77777777" w:rsidR="00130D5D" w:rsidRPr="00B128AE" w:rsidRDefault="00130D5D" w:rsidP="00130D5D">
            <w:pPr>
              <w:pStyle w:val="BodyTextIndent"/>
              <w:ind w:left="0"/>
              <w:jc w:val="center"/>
              <w:rPr>
                <w:b/>
                <w:sz w:val="22"/>
                <w:szCs w:val="22"/>
              </w:rPr>
            </w:pPr>
            <w:r w:rsidRPr="00B128AE">
              <w:rPr>
                <w:b/>
                <w:sz w:val="22"/>
                <w:szCs w:val="22"/>
              </w:rPr>
              <w:t>Significant Emission</w:t>
            </w:r>
            <w:r w:rsidR="00824C1E">
              <w:rPr>
                <w:b/>
                <w:sz w:val="22"/>
                <w:szCs w:val="22"/>
              </w:rPr>
              <w:t>s</w:t>
            </w:r>
            <w:r w:rsidRPr="00B128AE">
              <w:rPr>
                <w:b/>
                <w:sz w:val="22"/>
                <w:szCs w:val="22"/>
              </w:rPr>
              <w:t xml:space="preserve"> Levels</w:t>
            </w:r>
          </w:p>
        </w:tc>
      </w:tr>
      <w:tr w:rsidR="00130D5D" w14:paraId="613E1605" w14:textId="77777777" w:rsidTr="00DD6E2D">
        <w:trPr>
          <w:jc w:val="center"/>
        </w:trPr>
        <w:tc>
          <w:tcPr>
            <w:tcW w:w="1260" w:type="dxa"/>
            <w:vAlign w:val="center"/>
          </w:tcPr>
          <w:p w14:paraId="37AAE089" w14:textId="77777777" w:rsidR="00130D5D" w:rsidRPr="00B128AE" w:rsidRDefault="00130D5D" w:rsidP="00130D5D">
            <w:pPr>
              <w:pStyle w:val="BodyTextIndent"/>
              <w:ind w:left="252"/>
              <w:rPr>
                <w:sz w:val="22"/>
                <w:szCs w:val="22"/>
              </w:rPr>
            </w:pPr>
            <w:r w:rsidRPr="00B128AE">
              <w:rPr>
                <w:sz w:val="22"/>
                <w:szCs w:val="22"/>
              </w:rPr>
              <w:t>PM</w:t>
            </w:r>
          </w:p>
        </w:tc>
        <w:tc>
          <w:tcPr>
            <w:tcW w:w="2700" w:type="dxa"/>
            <w:vAlign w:val="center"/>
          </w:tcPr>
          <w:p w14:paraId="3174AEA7" w14:textId="2C9CEBF9" w:rsidR="00130D5D" w:rsidRPr="00B128AE" w:rsidRDefault="00825C48" w:rsidP="00DD6E2D">
            <w:pPr>
              <w:pStyle w:val="BodyTextIndent"/>
              <w:ind w:left="0"/>
              <w:jc w:val="center"/>
              <w:rPr>
                <w:sz w:val="22"/>
                <w:szCs w:val="22"/>
              </w:rPr>
            </w:pPr>
            <w:r>
              <w:rPr>
                <w:sz w:val="22"/>
                <w:szCs w:val="22"/>
              </w:rPr>
              <w:t>0.1</w:t>
            </w:r>
          </w:p>
        </w:tc>
        <w:tc>
          <w:tcPr>
            <w:tcW w:w="2003" w:type="dxa"/>
            <w:vAlign w:val="center"/>
          </w:tcPr>
          <w:p w14:paraId="645D1010" w14:textId="77777777" w:rsidR="00130D5D" w:rsidRPr="00B128AE" w:rsidRDefault="00130D5D" w:rsidP="00DD6E2D">
            <w:pPr>
              <w:pStyle w:val="BodyTextIndent"/>
              <w:ind w:left="0"/>
              <w:jc w:val="center"/>
              <w:rPr>
                <w:sz w:val="22"/>
                <w:szCs w:val="22"/>
              </w:rPr>
            </w:pPr>
            <w:r w:rsidRPr="00B128AE">
              <w:rPr>
                <w:sz w:val="22"/>
                <w:szCs w:val="22"/>
              </w:rPr>
              <w:t>100</w:t>
            </w:r>
          </w:p>
        </w:tc>
      </w:tr>
      <w:tr w:rsidR="00130D5D" w14:paraId="2012C968" w14:textId="77777777" w:rsidTr="00DD6E2D">
        <w:trPr>
          <w:jc w:val="center"/>
        </w:trPr>
        <w:tc>
          <w:tcPr>
            <w:tcW w:w="1260" w:type="dxa"/>
            <w:vAlign w:val="center"/>
          </w:tcPr>
          <w:p w14:paraId="25DFA059" w14:textId="77777777" w:rsidR="00130D5D" w:rsidRPr="00B128AE" w:rsidRDefault="00130D5D" w:rsidP="00130D5D">
            <w:pPr>
              <w:pStyle w:val="BodyTextIndent"/>
              <w:ind w:left="252"/>
              <w:rPr>
                <w:sz w:val="22"/>
                <w:szCs w:val="22"/>
              </w:rPr>
            </w:pPr>
            <w:r w:rsidRPr="00B128AE">
              <w:rPr>
                <w:sz w:val="22"/>
                <w:szCs w:val="22"/>
              </w:rPr>
              <w:t>PM</w:t>
            </w:r>
            <w:r w:rsidRPr="00B128AE">
              <w:rPr>
                <w:sz w:val="22"/>
                <w:szCs w:val="22"/>
                <w:vertAlign w:val="subscript"/>
              </w:rPr>
              <w:t>10</w:t>
            </w:r>
          </w:p>
        </w:tc>
        <w:tc>
          <w:tcPr>
            <w:tcW w:w="2700" w:type="dxa"/>
            <w:vAlign w:val="center"/>
          </w:tcPr>
          <w:p w14:paraId="0F174AB4" w14:textId="781199AD" w:rsidR="00130D5D" w:rsidRPr="00B128AE" w:rsidRDefault="00825C48" w:rsidP="00DD6E2D">
            <w:pPr>
              <w:pStyle w:val="BodyTextIndent"/>
              <w:ind w:left="0"/>
              <w:jc w:val="center"/>
              <w:rPr>
                <w:sz w:val="22"/>
                <w:szCs w:val="22"/>
              </w:rPr>
            </w:pPr>
            <w:r>
              <w:rPr>
                <w:sz w:val="22"/>
                <w:szCs w:val="22"/>
              </w:rPr>
              <w:t>0.1</w:t>
            </w:r>
          </w:p>
        </w:tc>
        <w:tc>
          <w:tcPr>
            <w:tcW w:w="2003" w:type="dxa"/>
            <w:vAlign w:val="center"/>
          </w:tcPr>
          <w:p w14:paraId="0B99A31A" w14:textId="77777777" w:rsidR="00130D5D" w:rsidRPr="00B128AE" w:rsidRDefault="00130D5D" w:rsidP="00DD6E2D">
            <w:pPr>
              <w:pStyle w:val="BodyTextIndent"/>
              <w:ind w:left="0"/>
              <w:jc w:val="center"/>
              <w:rPr>
                <w:sz w:val="22"/>
                <w:szCs w:val="22"/>
              </w:rPr>
            </w:pPr>
            <w:r w:rsidRPr="00B128AE">
              <w:rPr>
                <w:sz w:val="22"/>
                <w:szCs w:val="22"/>
              </w:rPr>
              <w:t>100</w:t>
            </w:r>
          </w:p>
        </w:tc>
      </w:tr>
      <w:tr w:rsidR="00341A0D" w14:paraId="342ED145" w14:textId="77777777" w:rsidTr="00DD6E2D">
        <w:trPr>
          <w:jc w:val="center"/>
        </w:trPr>
        <w:tc>
          <w:tcPr>
            <w:tcW w:w="1260" w:type="dxa"/>
            <w:vAlign w:val="center"/>
          </w:tcPr>
          <w:p w14:paraId="0BC54DA9" w14:textId="77777777" w:rsidR="00341A0D" w:rsidRPr="00B128AE" w:rsidRDefault="00341A0D" w:rsidP="00130D5D">
            <w:pPr>
              <w:pStyle w:val="BodyTextIndent"/>
              <w:ind w:left="252"/>
              <w:rPr>
                <w:sz w:val="22"/>
                <w:szCs w:val="22"/>
              </w:rPr>
            </w:pPr>
            <w:r w:rsidRPr="00B128AE">
              <w:rPr>
                <w:sz w:val="22"/>
                <w:szCs w:val="22"/>
              </w:rPr>
              <w:t>PM</w:t>
            </w:r>
            <w:r w:rsidRPr="00B128AE">
              <w:rPr>
                <w:sz w:val="22"/>
                <w:szCs w:val="22"/>
                <w:vertAlign w:val="subscript"/>
              </w:rPr>
              <w:t>2.5</w:t>
            </w:r>
          </w:p>
        </w:tc>
        <w:tc>
          <w:tcPr>
            <w:tcW w:w="2700" w:type="dxa"/>
            <w:vAlign w:val="center"/>
          </w:tcPr>
          <w:p w14:paraId="2B410CAF" w14:textId="47524998" w:rsidR="00341A0D" w:rsidRPr="00B128AE" w:rsidRDefault="00825C48" w:rsidP="00DD6E2D">
            <w:pPr>
              <w:pStyle w:val="BodyTextIndent"/>
              <w:ind w:left="0"/>
              <w:jc w:val="center"/>
              <w:rPr>
                <w:sz w:val="22"/>
                <w:szCs w:val="22"/>
              </w:rPr>
            </w:pPr>
            <w:r>
              <w:rPr>
                <w:sz w:val="22"/>
                <w:szCs w:val="22"/>
              </w:rPr>
              <w:t>0.1</w:t>
            </w:r>
          </w:p>
        </w:tc>
        <w:tc>
          <w:tcPr>
            <w:tcW w:w="2003" w:type="dxa"/>
            <w:vAlign w:val="center"/>
          </w:tcPr>
          <w:p w14:paraId="79906991" w14:textId="77777777" w:rsidR="00341A0D" w:rsidRPr="00B128AE" w:rsidRDefault="00341A0D" w:rsidP="00DD6E2D">
            <w:pPr>
              <w:pStyle w:val="BodyTextIndent"/>
              <w:ind w:left="0"/>
              <w:jc w:val="center"/>
              <w:rPr>
                <w:sz w:val="22"/>
                <w:szCs w:val="22"/>
              </w:rPr>
            </w:pPr>
            <w:r w:rsidRPr="00B128AE">
              <w:rPr>
                <w:sz w:val="22"/>
                <w:szCs w:val="22"/>
              </w:rPr>
              <w:t>100</w:t>
            </w:r>
          </w:p>
        </w:tc>
      </w:tr>
      <w:tr w:rsidR="00130D5D" w14:paraId="0EC8A671" w14:textId="77777777" w:rsidTr="00DD6E2D">
        <w:trPr>
          <w:jc w:val="center"/>
        </w:trPr>
        <w:tc>
          <w:tcPr>
            <w:tcW w:w="1260" w:type="dxa"/>
            <w:vAlign w:val="center"/>
          </w:tcPr>
          <w:p w14:paraId="031F05A2" w14:textId="77777777" w:rsidR="00130D5D" w:rsidRPr="00B128AE" w:rsidRDefault="00130D5D" w:rsidP="00130D5D">
            <w:pPr>
              <w:pStyle w:val="BodyTextIndent"/>
              <w:ind w:left="252"/>
              <w:rPr>
                <w:sz w:val="22"/>
                <w:szCs w:val="22"/>
              </w:rPr>
            </w:pPr>
            <w:r w:rsidRPr="00B128AE">
              <w:rPr>
                <w:sz w:val="22"/>
                <w:szCs w:val="22"/>
              </w:rPr>
              <w:t>SO</w:t>
            </w:r>
            <w:r w:rsidRPr="00B128AE">
              <w:rPr>
                <w:sz w:val="22"/>
                <w:szCs w:val="22"/>
                <w:vertAlign w:val="subscript"/>
              </w:rPr>
              <w:t>2</w:t>
            </w:r>
          </w:p>
        </w:tc>
        <w:tc>
          <w:tcPr>
            <w:tcW w:w="2700" w:type="dxa"/>
            <w:vAlign w:val="center"/>
          </w:tcPr>
          <w:p w14:paraId="5827C8DB" w14:textId="59C08AE8" w:rsidR="00130D5D" w:rsidRPr="00B128AE" w:rsidRDefault="00825C48" w:rsidP="00DD6E2D">
            <w:pPr>
              <w:pStyle w:val="BodyTextIndent"/>
              <w:ind w:left="0"/>
              <w:jc w:val="center"/>
              <w:rPr>
                <w:sz w:val="22"/>
                <w:szCs w:val="22"/>
              </w:rPr>
            </w:pPr>
            <w:r>
              <w:rPr>
                <w:sz w:val="22"/>
                <w:szCs w:val="22"/>
              </w:rPr>
              <w:t>0.1</w:t>
            </w:r>
          </w:p>
        </w:tc>
        <w:tc>
          <w:tcPr>
            <w:tcW w:w="2003" w:type="dxa"/>
            <w:vAlign w:val="center"/>
          </w:tcPr>
          <w:p w14:paraId="09514B76" w14:textId="77777777" w:rsidR="00130D5D" w:rsidRPr="00B128AE" w:rsidRDefault="00130D5D" w:rsidP="00DD6E2D">
            <w:pPr>
              <w:pStyle w:val="BodyTextIndent"/>
              <w:ind w:left="0"/>
              <w:jc w:val="center"/>
              <w:rPr>
                <w:sz w:val="22"/>
                <w:szCs w:val="22"/>
              </w:rPr>
            </w:pPr>
            <w:r w:rsidRPr="00B128AE">
              <w:rPr>
                <w:sz w:val="22"/>
                <w:szCs w:val="22"/>
              </w:rPr>
              <w:t>100</w:t>
            </w:r>
          </w:p>
        </w:tc>
      </w:tr>
      <w:tr w:rsidR="00130D5D" w14:paraId="44C3A4A2" w14:textId="77777777" w:rsidTr="00DD6E2D">
        <w:trPr>
          <w:jc w:val="center"/>
        </w:trPr>
        <w:tc>
          <w:tcPr>
            <w:tcW w:w="1260" w:type="dxa"/>
            <w:vAlign w:val="center"/>
          </w:tcPr>
          <w:p w14:paraId="42A5F5D9" w14:textId="77777777" w:rsidR="00130D5D" w:rsidRPr="00B128AE" w:rsidRDefault="00130D5D" w:rsidP="00130D5D">
            <w:pPr>
              <w:pStyle w:val="BodyTextIndent"/>
              <w:ind w:left="252"/>
              <w:rPr>
                <w:sz w:val="22"/>
                <w:szCs w:val="22"/>
              </w:rPr>
            </w:pPr>
            <w:r w:rsidRPr="00B128AE">
              <w:rPr>
                <w:sz w:val="22"/>
                <w:szCs w:val="22"/>
              </w:rPr>
              <w:t>NO</w:t>
            </w:r>
            <w:r w:rsidRPr="00B128AE">
              <w:rPr>
                <w:sz w:val="22"/>
                <w:szCs w:val="22"/>
                <w:vertAlign w:val="subscript"/>
              </w:rPr>
              <w:t>x</w:t>
            </w:r>
          </w:p>
        </w:tc>
        <w:tc>
          <w:tcPr>
            <w:tcW w:w="2700" w:type="dxa"/>
            <w:vAlign w:val="center"/>
          </w:tcPr>
          <w:p w14:paraId="73D55388" w14:textId="2B4A0D29" w:rsidR="00130D5D" w:rsidRPr="00B128AE" w:rsidRDefault="00825C48" w:rsidP="00DD6E2D">
            <w:pPr>
              <w:pStyle w:val="BodyTextIndent"/>
              <w:ind w:left="0"/>
              <w:jc w:val="center"/>
              <w:rPr>
                <w:sz w:val="22"/>
                <w:szCs w:val="22"/>
              </w:rPr>
            </w:pPr>
            <w:r>
              <w:rPr>
                <w:sz w:val="22"/>
                <w:szCs w:val="22"/>
              </w:rPr>
              <w:t>1.8</w:t>
            </w:r>
          </w:p>
        </w:tc>
        <w:tc>
          <w:tcPr>
            <w:tcW w:w="2003" w:type="dxa"/>
            <w:vAlign w:val="center"/>
          </w:tcPr>
          <w:p w14:paraId="59F2701B" w14:textId="77777777" w:rsidR="00130D5D" w:rsidRPr="00B128AE" w:rsidRDefault="00130D5D" w:rsidP="00DD6E2D">
            <w:pPr>
              <w:pStyle w:val="BodyTextIndent"/>
              <w:ind w:left="0"/>
              <w:jc w:val="center"/>
              <w:rPr>
                <w:sz w:val="22"/>
                <w:szCs w:val="22"/>
              </w:rPr>
            </w:pPr>
            <w:r w:rsidRPr="00B128AE">
              <w:rPr>
                <w:sz w:val="22"/>
                <w:szCs w:val="22"/>
              </w:rPr>
              <w:t>100</w:t>
            </w:r>
          </w:p>
        </w:tc>
      </w:tr>
      <w:tr w:rsidR="00130D5D" w14:paraId="3A9F8705" w14:textId="77777777" w:rsidTr="00DD6E2D">
        <w:trPr>
          <w:jc w:val="center"/>
        </w:trPr>
        <w:tc>
          <w:tcPr>
            <w:tcW w:w="1260" w:type="dxa"/>
            <w:vAlign w:val="center"/>
          </w:tcPr>
          <w:p w14:paraId="208FB91D" w14:textId="77777777" w:rsidR="00130D5D" w:rsidRPr="00B128AE" w:rsidRDefault="00130D5D" w:rsidP="00130D5D">
            <w:pPr>
              <w:pStyle w:val="BodyTextIndent"/>
              <w:ind w:left="252"/>
              <w:rPr>
                <w:sz w:val="22"/>
                <w:szCs w:val="22"/>
              </w:rPr>
            </w:pPr>
            <w:r w:rsidRPr="00B128AE">
              <w:rPr>
                <w:sz w:val="22"/>
                <w:szCs w:val="22"/>
              </w:rPr>
              <w:t>CO</w:t>
            </w:r>
          </w:p>
        </w:tc>
        <w:tc>
          <w:tcPr>
            <w:tcW w:w="2700" w:type="dxa"/>
            <w:vAlign w:val="center"/>
          </w:tcPr>
          <w:p w14:paraId="44BD5458" w14:textId="1A41E9DB" w:rsidR="00130D5D" w:rsidRPr="00B128AE" w:rsidRDefault="00825C48" w:rsidP="00DD6E2D">
            <w:pPr>
              <w:pStyle w:val="BodyTextIndent"/>
              <w:ind w:left="0"/>
              <w:jc w:val="center"/>
              <w:rPr>
                <w:sz w:val="22"/>
                <w:szCs w:val="22"/>
              </w:rPr>
            </w:pPr>
            <w:r>
              <w:rPr>
                <w:sz w:val="22"/>
                <w:szCs w:val="22"/>
              </w:rPr>
              <w:t>0.5</w:t>
            </w:r>
          </w:p>
        </w:tc>
        <w:tc>
          <w:tcPr>
            <w:tcW w:w="2003" w:type="dxa"/>
            <w:vAlign w:val="center"/>
          </w:tcPr>
          <w:p w14:paraId="2E598066" w14:textId="77777777" w:rsidR="00130D5D" w:rsidRPr="00B128AE" w:rsidRDefault="00130D5D" w:rsidP="00DD6E2D">
            <w:pPr>
              <w:pStyle w:val="BodyTextIndent"/>
              <w:ind w:left="0"/>
              <w:jc w:val="center"/>
              <w:rPr>
                <w:sz w:val="22"/>
                <w:szCs w:val="22"/>
              </w:rPr>
            </w:pPr>
            <w:r w:rsidRPr="00B128AE">
              <w:rPr>
                <w:sz w:val="22"/>
                <w:szCs w:val="22"/>
              </w:rPr>
              <w:t>100</w:t>
            </w:r>
          </w:p>
        </w:tc>
      </w:tr>
      <w:tr w:rsidR="00130D5D" w:rsidRPr="001C37FF" w14:paraId="06D2B5D1" w14:textId="77777777" w:rsidTr="00DD6E2D">
        <w:trPr>
          <w:jc w:val="center"/>
        </w:trPr>
        <w:tc>
          <w:tcPr>
            <w:tcW w:w="1260" w:type="dxa"/>
            <w:vAlign w:val="center"/>
          </w:tcPr>
          <w:p w14:paraId="150BACFA" w14:textId="77777777" w:rsidR="00130D5D" w:rsidRPr="00B128AE" w:rsidRDefault="00130D5D" w:rsidP="00130D5D">
            <w:pPr>
              <w:pStyle w:val="BodyTextIndent"/>
              <w:ind w:left="252"/>
              <w:rPr>
                <w:sz w:val="22"/>
                <w:szCs w:val="22"/>
              </w:rPr>
            </w:pPr>
            <w:r w:rsidRPr="00B128AE">
              <w:rPr>
                <w:sz w:val="22"/>
                <w:szCs w:val="22"/>
              </w:rPr>
              <w:t>VOC</w:t>
            </w:r>
          </w:p>
        </w:tc>
        <w:tc>
          <w:tcPr>
            <w:tcW w:w="2700" w:type="dxa"/>
            <w:vAlign w:val="center"/>
          </w:tcPr>
          <w:p w14:paraId="7BF7A458" w14:textId="261B270C" w:rsidR="00130D5D" w:rsidRPr="00B128AE" w:rsidRDefault="00825C48" w:rsidP="00DD6E2D">
            <w:pPr>
              <w:pStyle w:val="BodyTextIndent"/>
              <w:ind w:left="0"/>
              <w:jc w:val="center"/>
              <w:rPr>
                <w:sz w:val="22"/>
                <w:szCs w:val="22"/>
              </w:rPr>
            </w:pPr>
            <w:r>
              <w:rPr>
                <w:sz w:val="22"/>
                <w:szCs w:val="22"/>
              </w:rPr>
              <w:t>0.1</w:t>
            </w:r>
          </w:p>
        </w:tc>
        <w:tc>
          <w:tcPr>
            <w:tcW w:w="2003" w:type="dxa"/>
            <w:vAlign w:val="center"/>
          </w:tcPr>
          <w:p w14:paraId="5C997963" w14:textId="1C4BAB75" w:rsidR="00C9211B" w:rsidRPr="00E53AFE" w:rsidRDefault="00130D5D" w:rsidP="00E53AFE">
            <w:pPr>
              <w:pStyle w:val="BodyTextIndent"/>
              <w:ind w:left="0"/>
              <w:jc w:val="center"/>
              <w:rPr>
                <w:sz w:val="22"/>
                <w:szCs w:val="22"/>
              </w:rPr>
            </w:pPr>
            <w:r w:rsidRPr="00E53AFE">
              <w:rPr>
                <w:sz w:val="22"/>
                <w:szCs w:val="22"/>
              </w:rPr>
              <w:t>50</w:t>
            </w:r>
            <w:r w:rsidR="00B55FA5" w:rsidRPr="00E53AFE">
              <w:rPr>
                <w:sz w:val="22"/>
                <w:szCs w:val="22"/>
              </w:rPr>
              <w:t>*</w:t>
            </w:r>
            <w:r w:rsidR="00C9211B" w:rsidRPr="00E53AFE">
              <w:rPr>
                <w:sz w:val="22"/>
                <w:szCs w:val="22"/>
              </w:rPr>
              <w:t xml:space="preserve"> </w:t>
            </w:r>
          </w:p>
        </w:tc>
      </w:tr>
    </w:tbl>
    <w:p w14:paraId="5C95C726" w14:textId="77777777" w:rsidR="00044AA4" w:rsidRPr="001C37FF" w:rsidRDefault="00044AA4">
      <w:pPr>
        <w:pStyle w:val="BodyTextIndent"/>
        <w:jc w:val="both"/>
      </w:pPr>
    </w:p>
    <w:p w14:paraId="7905EDCB" w14:textId="23357070" w:rsidR="00B55FA5" w:rsidRDefault="00B55FA5" w:rsidP="00E42EA3">
      <w:pPr>
        <w:pStyle w:val="BodyTextIndent"/>
        <w:ind w:left="900" w:hanging="180"/>
        <w:jc w:val="both"/>
      </w:pPr>
      <w:r w:rsidRPr="00E53AFE">
        <w:t>*</w:t>
      </w:r>
      <w:r w:rsidR="00E42EA3" w:rsidRPr="00E53AFE">
        <w:t xml:space="preserve"> </w:t>
      </w:r>
      <w:r w:rsidR="00E53AFE" w:rsidRPr="00E53AFE">
        <w:t>N</w:t>
      </w:r>
      <w:r w:rsidR="00897030">
        <w:t>ortheastern</w:t>
      </w:r>
      <w:r w:rsidRPr="001C37FF">
        <w:t xml:space="preserve"> </w:t>
      </w:r>
      <w:proofErr w:type="gramStart"/>
      <w:r w:rsidRPr="001C37FF">
        <w:t>is located in</w:t>
      </w:r>
      <w:proofErr w:type="gramEnd"/>
      <w:r w:rsidRPr="001C37FF">
        <w:t xml:space="preserve"> an area of the state included in the Ozone Transport Region. Therefore, the significant emission level for VOC is 50 </w:t>
      </w:r>
      <w:proofErr w:type="spellStart"/>
      <w:r w:rsidRPr="001C37FF">
        <w:t>tpy</w:t>
      </w:r>
      <w:proofErr w:type="spellEnd"/>
      <w:r w:rsidRPr="001C37FF">
        <w:t>.</w:t>
      </w:r>
      <w:r>
        <w:t xml:space="preserve"> </w:t>
      </w:r>
    </w:p>
    <w:p w14:paraId="738081A6" w14:textId="77777777" w:rsidR="00B55FA5" w:rsidRDefault="00B55FA5">
      <w:pPr>
        <w:pStyle w:val="BodyTextIndent"/>
        <w:jc w:val="both"/>
      </w:pPr>
    </w:p>
    <w:p w14:paraId="23FAB5B7" w14:textId="77777777" w:rsidR="001D0CE9" w:rsidRDefault="00044AA4">
      <w:pPr>
        <w:pStyle w:val="BodyTextIndent"/>
        <w:jc w:val="both"/>
      </w:pPr>
      <w:r>
        <w:lastRenderedPageBreak/>
        <w:t>The Department has determined the facility is a minor source</w:t>
      </w:r>
      <w:r w:rsidR="007D3D66">
        <w:t>,</w:t>
      </w:r>
      <w:r>
        <w:t xml:space="preserve"> and the application has been processed through </w:t>
      </w:r>
      <w:r w:rsidR="00585DF7">
        <w:rPr>
          <w:i/>
        </w:rPr>
        <w:t>Major and Minor Source Air Emission License Regulations</w:t>
      </w:r>
      <w:r w:rsidR="00585DF7">
        <w:t>, 06</w:t>
      </w:r>
      <w:r w:rsidR="005B21C0">
        <w:noBreakHyphen/>
      </w:r>
      <w:r w:rsidR="00585DF7">
        <w:t>096</w:t>
      </w:r>
      <w:r w:rsidR="007D3D66">
        <w:t> </w:t>
      </w:r>
      <w:r w:rsidR="00585DF7">
        <w:t>C</w:t>
      </w:r>
      <w:r w:rsidR="00976B0E">
        <w:t>.</w:t>
      </w:r>
      <w:r w:rsidR="00585DF7">
        <w:t>M</w:t>
      </w:r>
      <w:r w:rsidR="00976B0E">
        <w:t>.</w:t>
      </w:r>
      <w:r w:rsidR="00585DF7">
        <w:t>R</w:t>
      </w:r>
      <w:r w:rsidR="00976B0E">
        <w:t>. ch. 115</w:t>
      </w:r>
      <w:r w:rsidR="000759E6">
        <w:t>.</w:t>
      </w:r>
      <w:r>
        <w:t xml:space="preserve"> </w:t>
      </w:r>
    </w:p>
    <w:p w14:paraId="641A036C" w14:textId="77777777" w:rsidR="00044AA4" w:rsidRDefault="00044AA4">
      <w:pPr>
        <w:pStyle w:val="BodyTextIndent"/>
        <w:jc w:val="both"/>
      </w:pPr>
    </w:p>
    <w:p w14:paraId="3DB35739" w14:textId="77777777" w:rsidR="007A0DB9" w:rsidRPr="00D44139" w:rsidRDefault="007A0DB9" w:rsidP="007A0DB9">
      <w:pPr>
        <w:pStyle w:val="Heading3"/>
      </w:pPr>
      <w:r w:rsidRPr="00D44139">
        <w:t>Facility Classification</w:t>
      </w:r>
    </w:p>
    <w:p w14:paraId="2425F522" w14:textId="77777777" w:rsidR="007A0DB9" w:rsidRPr="00D44139" w:rsidRDefault="007A0DB9" w:rsidP="007A0DB9">
      <w:pPr>
        <w:rPr>
          <w:sz w:val="24"/>
        </w:rPr>
      </w:pPr>
    </w:p>
    <w:p w14:paraId="7B677393" w14:textId="2B88A631" w:rsidR="00C11D44" w:rsidRDefault="00C11D44" w:rsidP="00C11D44">
      <w:pPr>
        <w:pStyle w:val="BodyTextIndent"/>
        <w:jc w:val="both"/>
      </w:pPr>
      <w:r>
        <w:t xml:space="preserve">With </w:t>
      </w:r>
      <w:r w:rsidR="00825C48" w:rsidRPr="00825C48">
        <w:t>t</w:t>
      </w:r>
      <w:r w:rsidRPr="00825C48">
        <w:t>he operating hours restriction on the emergency generator</w:t>
      </w:r>
      <w:r w:rsidR="00825C48" w:rsidRPr="00825C48">
        <w:t>s</w:t>
      </w:r>
      <w:r w:rsidRPr="00825C48">
        <w:t>,</w:t>
      </w:r>
      <w:r>
        <w:t xml:space="preserve"> the facility is licensed as follows:</w:t>
      </w:r>
    </w:p>
    <w:p w14:paraId="4AC9D593" w14:textId="403A42FA" w:rsidR="00C11D44" w:rsidRDefault="00C11D44" w:rsidP="00A36952">
      <w:pPr>
        <w:numPr>
          <w:ilvl w:val="0"/>
          <w:numId w:val="101"/>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r w:rsidR="00825C48">
        <w:rPr>
          <w:sz w:val="24"/>
          <w:szCs w:val="24"/>
        </w:rPr>
        <w:t>N</w:t>
      </w:r>
      <w:r w:rsidR="00897030">
        <w:rPr>
          <w:sz w:val="24"/>
          <w:szCs w:val="24"/>
        </w:rPr>
        <w:t>ortheastern</w:t>
      </w:r>
      <w:r>
        <w:rPr>
          <w:sz w:val="24"/>
          <w:szCs w:val="24"/>
        </w:rPr>
        <w:t xml:space="preserve"> is subject to license restrictions that keep facility emissions below major source thresholds for </w:t>
      </w:r>
      <w:r w:rsidR="00825C48" w:rsidRPr="00825C48">
        <w:rPr>
          <w:sz w:val="24"/>
          <w:szCs w:val="24"/>
        </w:rPr>
        <w:t>NO</w:t>
      </w:r>
      <w:r w:rsidR="00825C48" w:rsidRPr="00825C48">
        <w:rPr>
          <w:sz w:val="24"/>
          <w:szCs w:val="24"/>
          <w:vertAlign w:val="subscript"/>
        </w:rPr>
        <w:t>x</w:t>
      </w:r>
      <w:r>
        <w:rPr>
          <w:sz w:val="24"/>
          <w:szCs w:val="24"/>
        </w:rPr>
        <w:t>; and</w:t>
      </w:r>
    </w:p>
    <w:p w14:paraId="3C1335F4"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6762EDC7" w14:textId="77777777" w:rsidR="00E81F35" w:rsidRDefault="00E81F35">
      <w:pPr>
        <w:jc w:val="both"/>
        <w:rPr>
          <w:sz w:val="24"/>
        </w:rPr>
      </w:pPr>
    </w:p>
    <w:p w14:paraId="5948CEA6" w14:textId="77777777" w:rsidR="00044AA4" w:rsidRPr="009A2573" w:rsidRDefault="00044AA4" w:rsidP="007D07F5">
      <w:pPr>
        <w:pStyle w:val="Heading2"/>
      </w:pPr>
      <w:r w:rsidRPr="009A2573">
        <w:t>BEST PRACTICAL TREATMENT (BPT)</w:t>
      </w:r>
    </w:p>
    <w:p w14:paraId="592C8A99" w14:textId="77777777" w:rsidR="00044AA4" w:rsidRDefault="00044AA4">
      <w:pPr>
        <w:jc w:val="both"/>
        <w:rPr>
          <w:sz w:val="24"/>
        </w:rPr>
      </w:pPr>
    </w:p>
    <w:p w14:paraId="1CCDF6B0" w14:textId="77777777" w:rsidR="00044AA4" w:rsidRDefault="00044AA4" w:rsidP="005C568C">
      <w:pPr>
        <w:pStyle w:val="Heading3"/>
        <w:numPr>
          <w:ilvl w:val="0"/>
          <w:numId w:val="52"/>
        </w:numPr>
      </w:pPr>
      <w:r>
        <w:t>Introduction</w:t>
      </w:r>
    </w:p>
    <w:p w14:paraId="247D6F04" w14:textId="77777777" w:rsidR="00CC1814" w:rsidRDefault="00CC1814">
      <w:pPr>
        <w:pStyle w:val="BodyTextIndent"/>
        <w:jc w:val="both"/>
      </w:pPr>
    </w:p>
    <w:p w14:paraId="7B18C551" w14:textId="77777777" w:rsidR="005073EA" w:rsidRDefault="00044AA4">
      <w:pPr>
        <w:pStyle w:val="BodyTextIndent"/>
        <w:jc w:val="both"/>
      </w:pPr>
      <w:proofErr w:type="gramStart"/>
      <w:r>
        <w:t>In order to</w:t>
      </w:r>
      <w:proofErr w:type="gramEnd"/>
      <w:r>
        <w:t xml:space="preserve">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00569E9A" w14:textId="77777777" w:rsidR="005073EA" w:rsidRDefault="005073EA">
      <w:pPr>
        <w:pStyle w:val="BodyTextIndent"/>
        <w:jc w:val="both"/>
      </w:pPr>
    </w:p>
    <w:p w14:paraId="5B2B3B81" w14:textId="77777777" w:rsidR="00044AA4" w:rsidRDefault="00044AA4">
      <w:pPr>
        <w:pStyle w:val="BodyTextIndent"/>
        <w:jc w:val="both"/>
      </w:pPr>
      <w:r>
        <w:t xml:space="preserve">BPT for new sources and modifications requires a demonstration that emissions are receiving Best Available Control Technology (BACT), as defined in </w:t>
      </w:r>
      <w:r w:rsidR="00585DF7">
        <w:rPr>
          <w:i/>
        </w:rPr>
        <w:t>Definitions Regulation</w:t>
      </w:r>
      <w:r w:rsidR="00585DF7">
        <w:t>, 06-096 C</w:t>
      </w:r>
      <w:r w:rsidR="00931A86">
        <w:t>.</w:t>
      </w:r>
      <w:r w:rsidR="00585DF7">
        <w:t>M</w:t>
      </w:r>
      <w:r w:rsidR="00931A86">
        <w:t>.</w:t>
      </w:r>
      <w:r w:rsidR="00585DF7">
        <w:t>R</w:t>
      </w:r>
      <w:r w:rsidR="00931A86">
        <w:t>. ch. 100</w:t>
      </w:r>
      <w:r w:rsidR="000759E6">
        <w:t>.</w:t>
      </w:r>
      <w:r>
        <w:t xml:space="preserve"> BACT is a top-down approach to selecting air emission controls considering economic, environmental</w:t>
      </w:r>
      <w:r w:rsidR="00E8474D">
        <w:t>,</w:t>
      </w:r>
      <w:r>
        <w:t xml:space="preserve"> and energy impacts.</w:t>
      </w:r>
    </w:p>
    <w:p w14:paraId="0CCC8E7E" w14:textId="77777777" w:rsidR="005073EA" w:rsidRDefault="005073EA" w:rsidP="005073EA">
      <w:pPr>
        <w:jc w:val="both"/>
        <w:rPr>
          <w:sz w:val="24"/>
        </w:rPr>
      </w:pPr>
    </w:p>
    <w:p w14:paraId="342D778A" w14:textId="2FEEB03F" w:rsidR="006846E7" w:rsidRPr="00AF3858" w:rsidRDefault="006846E7" w:rsidP="0075539E">
      <w:pPr>
        <w:pStyle w:val="Heading3"/>
      </w:pPr>
      <w:r w:rsidRPr="00525729">
        <w:t xml:space="preserve">Generators </w:t>
      </w:r>
      <w:r>
        <w:t>#</w:t>
      </w:r>
      <w:r w:rsidR="002011EE">
        <w:t>1 and #2</w:t>
      </w:r>
    </w:p>
    <w:p w14:paraId="4F4FB0D7" w14:textId="77777777" w:rsidR="006846E7" w:rsidRDefault="006846E7" w:rsidP="006846E7">
      <w:pPr>
        <w:tabs>
          <w:tab w:val="left" w:pos="360"/>
        </w:tabs>
        <w:ind w:left="330"/>
        <w:jc w:val="both"/>
        <w:rPr>
          <w:sz w:val="24"/>
          <w:szCs w:val="24"/>
        </w:rPr>
      </w:pPr>
      <w:r>
        <w:rPr>
          <w:sz w:val="24"/>
          <w:szCs w:val="24"/>
        </w:rPr>
        <w:tab/>
      </w:r>
    </w:p>
    <w:p w14:paraId="149D5DD7" w14:textId="607868A5" w:rsidR="001155B2" w:rsidRDefault="002011EE" w:rsidP="001155B2">
      <w:pPr>
        <w:ind w:left="720"/>
        <w:jc w:val="both"/>
        <w:rPr>
          <w:b/>
          <w:bCs/>
          <w:i/>
          <w:iCs/>
          <w:sz w:val="24"/>
          <w:szCs w:val="24"/>
        </w:rPr>
      </w:pPr>
      <w:r>
        <w:rPr>
          <w:sz w:val="24"/>
          <w:szCs w:val="24"/>
        </w:rPr>
        <w:t>N</w:t>
      </w:r>
      <w:r w:rsidR="00897030">
        <w:rPr>
          <w:sz w:val="24"/>
          <w:szCs w:val="24"/>
        </w:rPr>
        <w:t>ortheastern</w:t>
      </w:r>
      <w:r>
        <w:rPr>
          <w:sz w:val="24"/>
          <w:szCs w:val="24"/>
        </w:rPr>
        <w:t xml:space="preserve"> </w:t>
      </w:r>
      <w:r w:rsidR="001155B2">
        <w:rPr>
          <w:sz w:val="24"/>
          <w:szCs w:val="24"/>
        </w:rPr>
        <w:t>operates</w:t>
      </w:r>
      <w:r w:rsidR="001155B2">
        <w:rPr>
          <w:b/>
          <w:bCs/>
          <w:i/>
          <w:iCs/>
          <w:sz w:val="24"/>
          <w:szCs w:val="24"/>
        </w:rPr>
        <w:t xml:space="preserve"> </w:t>
      </w:r>
      <w:r>
        <w:rPr>
          <w:sz w:val="24"/>
          <w:szCs w:val="24"/>
        </w:rPr>
        <w:t>two</w:t>
      </w:r>
      <w:r w:rsidR="00013E2E">
        <w:rPr>
          <w:sz w:val="24"/>
          <w:szCs w:val="24"/>
        </w:rPr>
        <w:t xml:space="preserve"> emergency generators</w:t>
      </w:r>
      <w:r w:rsidR="00897030">
        <w:rPr>
          <w:sz w:val="24"/>
          <w:szCs w:val="24"/>
        </w:rPr>
        <w:t xml:space="preserve"> identified as Generator #1 and Generator #2</w:t>
      </w:r>
      <w:r w:rsidR="00013E2E">
        <w:rPr>
          <w:sz w:val="24"/>
          <w:szCs w:val="24"/>
        </w:rPr>
        <w:t>. </w:t>
      </w:r>
      <w:r w:rsidR="00897030">
        <w:rPr>
          <w:sz w:val="24"/>
          <w:szCs w:val="24"/>
        </w:rPr>
        <w:t>Each of t</w:t>
      </w:r>
      <w:r w:rsidR="001155B2">
        <w:rPr>
          <w:sz w:val="24"/>
          <w:szCs w:val="24"/>
        </w:rPr>
        <w:t>he emergency generators consist</w:t>
      </w:r>
      <w:r w:rsidR="00897030">
        <w:rPr>
          <w:sz w:val="24"/>
          <w:szCs w:val="24"/>
        </w:rPr>
        <w:t>s</w:t>
      </w:r>
      <w:r w:rsidR="001155B2">
        <w:rPr>
          <w:sz w:val="24"/>
          <w:szCs w:val="24"/>
        </w:rPr>
        <w:t xml:space="preserve"> of an engin</w:t>
      </w:r>
      <w:r w:rsidR="00013E2E">
        <w:rPr>
          <w:sz w:val="24"/>
          <w:szCs w:val="24"/>
        </w:rPr>
        <w:t>e and an electrical generator. </w:t>
      </w:r>
      <w:r w:rsidR="001155B2">
        <w:rPr>
          <w:sz w:val="24"/>
          <w:szCs w:val="24"/>
        </w:rPr>
        <w:t xml:space="preserve">The emergency generators have engines rated at </w:t>
      </w:r>
      <w:r>
        <w:rPr>
          <w:sz w:val="24"/>
          <w:szCs w:val="24"/>
        </w:rPr>
        <w:t>9.9</w:t>
      </w:r>
      <w:r w:rsidR="00825C48">
        <w:rPr>
          <w:sz w:val="24"/>
          <w:szCs w:val="24"/>
        </w:rPr>
        <w:t> </w:t>
      </w:r>
      <w:r w:rsidR="001155B2">
        <w:rPr>
          <w:sz w:val="24"/>
          <w:szCs w:val="24"/>
        </w:rPr>
        <w:t>MMBtu/</w:t>
      </w:r>
      <w:proofErr w:type="spellStart"/>
      <w:r w:rsidR="001155B2">
        <w:rPr>
          <w:sz w:val="24"/>
          <w:szCs w:val="24"/>
        </w:rPr>
        <w:t>hr</w:t>
      </w:r>
      <w:proofErr w:type="spellEnd"/>
      <w:r>
        <w:rPr>
          <w:sz w:val="24"/>
          <w:szCs w:val="24"/>
        </w:rPr>
        <w:t xml:space="preserve"> and 0.96 </w:t>
      </w:r>
      <w:r w:rsidR="001155B2">
        <w:rPr>
          <w:sz w:val="24"/>
          <w:szCs w:val="24"/>
        </w:rPr>
        <w:t>MMBtu/</w:t>
      </w:r>
      <w:proofErr w:type="spellStart"/>
      <w:r w:rsidR="001155B2">
        <w:rPr>
          <w:sz w:val="24"/>
          <w:szCs w:val="24"/>
        </w:rPr>
        <w:t>hr</w:t>
      </w:r>
      <w:proofErr w:type="spellEnd"/>
      <w:r w:rsidR="001155B2">
        <w:rPr>
          <w:sz w:val="24"/>
          <w:szCs w:val="24"/>
        </w:rPr>
        <w:t xml:space="preserve">, </w:t>
      </w:r>
      <w:r>
        <w:rPr>
          <w:sz w:val="24"/>
          <w:szCs w:val="24"/>
        </w:rPr>
        <w:t>respectively,</w:t>
      </w:r>
      <w:r w:rsidR="001155B2">
        <w:rPr>
          <w:sz w:val="24"/>
          <w:szCs w:val="24"/>
        </w:rPr>
        <w:t xml:space="preserve"> which fire </w:t>
      </w:r>
      <w:r w:rsidR="001155B2" w:rsidRPr="002011EE">
        <w:rPr>
          <w:sz w:val="24"/>
          <w:szCs w:val="24"/>
        </w:rPr>
        <w:t>distillate fuel</w:t>
      </w:r>
      <w:r>
        <w:rPr>
          <w:sz w:val="24"/>
          <w:szCs w:val="24"/>
        </w:rPr>
        <w:t>.</w:t>
      </w:r>
      <w:r w:rsidR="00013E2E">
        <w:rPr>
          <w:sz w:val="24"/>
          <w:szCs w:val="24"/>
        </w:rPr>
        <w:t> </w:t>
      </w:r>
      <w:r w:rsidR="00300008">
        <w:rPr>
          <w:sz w:val="24"/>
          <w:szCs w:val="24"/>
        </w:rPr>
        <w:t>Generators #1 and #2 were</w:t>
      </w:r>
      <w:r w:rsidR="001155B2">
        <w:rPr>
          <w:sz w:val="24"/>
          <w:szCs w:val="24"/>
        </w:rPr>
        <w:t xml:space="preserve"> manufactured in </w:t>
      </w:r>
      <w:r>
        <w:rPr>
          <w:sz w:val="24"/>
          <w:szCs w:val="24"/>
        </w:rPr>
        <w:t>2025</w:t>
      </w:r>
      <w:r w:rsidR="00300008">
        <w:rPr>
          <w:sz w:val="24"/>
          <w:szCs w:val="24"/>
        </w:rPr>
        <w:t xml:space="preserve"> and 2024, respectively</w:t>
      </w:r>
      <w:r w:rsidR="001155B2">
        <w:rPr>
          <w:b/>
          <w:bCs/>
          <w:i/>
          <w:iCs/>
          <w:sz w:val="24"/>
          <w:szCs w:val="24"/>
        </w:rPr>
        <w:t>.</w:t>
      </w:r>
      <w:r w:rsidR="001155B2">
        <w:rPr>
          <w:sz w:val="24"/>
          <w:szCs w:val="24"/>
        </w:rPr>
        <w:t xml:space="preserve"> </w:t>
      </w:r>
    </w:p>
    <w:p w14:paraId="7425C164" w14:textId="77777777" w:rsidR="0064570C" w:rsidRDefault="0064570C" w:rsidP="001155B2">
      <w:pPr>
        <w:rPr>
          <w:rFonts w:ascii="Calibri" w:hAnsi="Calibri"/>
          <w:sz w:val="22"/>
          <w:szCs w:val="22"/>
        </w:rPr>
      </w:pPr>
    </w:p>
    <w:p w14:paraId="4F9AF555" w14:textId="491F8527" w:rsidR="006846E7" w:rsidRDefault="006846E7" w:rsidP="005C568C">
      <w:pPr>
        <w:pStyle w:val="Heading5"/>
        <w:numPr>
          <w:ilvl w:val="0"/>
          <w:numId w:val="55"/>
        </w:numPr>
      </w:pPr>
      <w:r w:rsidRPr="002011EE">
        <w:rPr>
          <w:bCs/>
          <w:iCs/>
        </w:rPr>
        <w:t>BACT</w:t>
      </w:r>
      <w:r w:rsidR="00D6641B" w:rsidRPr="002011EE">
        <w:rPr>
          <w:bCs/>
          <w:iCs/>
        </w:rPr>
        <w:t xml:space="preserve"> </w:t>
      </w:r>
      <w:r>
        <w:t>Findings</w:t>
      </w:r>
    </w:p>
    <w:p w14:paraId="2C0C8091" w14:textId="77777777" w:rsidR="006702B1" w:rsidRDefault="006702B1" w:rsidP="006846E7">
      <w:pPr>
        <w:tabs>
          <w:tab w:val="left" w:pos="1080"/>
        </w:tabs>
        <w:ind w:left="1080"/>
        <w:jc w:val="both"/>
        <w:rPr>
          <w:sz w:val="24"/>
          <w:szCs w:val="24"/>
        </w:rPr>
      </w:pPr>
    </w:p>
    <w:p w14:paraId="67A5ACE2" w14:textId="46271B94" w:rsidR="006702B1" w:rsidRDefault="00897030" w:rsidP="006846E7">
      <w:pPr>
        <w:tabs>
          <w:tab w:val="left" w:pos="1080"/>
        </w:tabs>
        <w:ind w:left="1080"/>
        <w:jc w:val="both"/>
        <w:rPr>
          <w:sz w:val="24"/>
          <w:szCs w:val="24"/>
        </w:rPr>
      </w:pPr>
      <w:r>
        <w:rPr>
          <w:sz w:val="24"/>
          <w:szCs w:val="24"/>
        </w:rPr>
        <w:t>Northeastern</w:t>
      </w:r>
      <w:r w:rsidR="006702B1">
        <w:rPr>
          <w:sz w:val="24"/>
          <w:szCs w:val="24"/>
        </w:rPr>
        <w:t xml:space="preserve"> has proposed using an EPA Tier II certified engine</w:t>
      </w:r>
      <w:r>
        <w:rPr>
          <w:sz w:val="24"/>
          <w:szCs w:val="24"/>
        </w:rPr>
        <w:t xml:space="preserve"> for Generator #1</w:t>
      </w:r>
      <w:r w:rsidR="006702B1">
        <w:rPr>
          <w:sz w:val="24"/>
          <w:szCs w:val="24"/>
        </w:rPr>
        <w:t>. Add</w:t>
      </w:r>
      <w:r>
        <w:rPr>
          <w:sz w:val="24"/>
          <w:szCs w:val="24"/>
        </w:rPr>
        <w:noBreakHyphen/>
      </w:r>
      <w:r w:rsidR="006702B1">
        <w:rPr>
          <w:sz w:val="24"/>
          <w:szCs w:val="24"/>
        </w:rPr>
        <w:t>on pollution control</w:t>
      </w:r>
      <w:r>
        <w:rPr>
          <w:sz w:val="24"/>
          <w:szCs w:val="24"/>
        </w:rPr>
        <w:t>s</w:t>
      </w:r>
      <w:r w:rsidR="006702B1">
        <w:rPr>
          <w:sz w:val="24"/>
          <w:szCs w:val="24"/>
        </w:rPr>
        <w:t xml:space="preserve"> for a limited operation</w:t>
      </w:r>
      <w:r>
        <w:rPr>
          <w:sz w:val="24"/>
          <w:szCs w:val="24"/>
        </w:rPr>
        <w:t xml:space="preserve"> emergency</w:t>
      </w:r>
      <w:r w:rsidR="006702B1">
        <w:rPr>
          <w:sz w:val="24"/>
          <w:szCs w:val="24"/>
        </w:rPr>
        <w:t xml:space="preserve"> engine with </w:t>
      </w:r>
      <w:r>
        <w:rPr>
          <w:sz w:val="24"/>
          <w:szCs w:val="24"/>
        </w:rPr>
        <w:t xml:space="preserve">correspondingly </w:t>
      </w:r>
      <w:r w:rsidR="006702B1">
        <w:rPr>
          <w:sz w:val="24"/>
          <w:szCs w:val="24"/>
        </w:rPr>
        <w:t>low potential emissions is</w:t>
      </w:r>
      <w:r>
        <w:rPr>
          <w:sz w:val="24"/>
          <w:szCs w:val="24"/>
        </w:rPr>
        <w:t xml:space="preserve"> not considered</w:t>
      </w:r>
      <w:r w:rsidR="006702B1">
        <w:rPr>
          <w:sz w:val="24"/>
          <w:szCs w:val="24"/>
        </w:rPr>
        <w:t xml:space="preserve"> economically feasible. The same</w:t>
      </w:r>
      <w:r>
        <w:rPr>
          <w:sz w:val="24"/>
          <w:szCs w:val="24"/>
        </w:rPr>
        <w:t xml:space="preserve"> determination also applies to </w:t>
      </w:r>
      <w:r w:rsidR="006702B1">
        <w:rPr>
          <w:sz w:val="24"/>
          <w:szCs w:val="24"/>
        </w:rPr>
        <w:t>Generator #2</w:t>
      </w:r>
      <w:r>
        <w:rPr>
          <w:sz w:val="24"/>
          <w:szCs w:val="24"/>
        </w:rPr>
        <w:t>,</w:t>
      </w:r>
      <w:r w:rsidR="006702B1">
        <w:rPr>
          <w:sz w:val="24"/>
          <w:szCs w:val="24"/>
        </w:rPr>
        <w:t xml:space="preserve"> which </w:t>
      </w:r>
      <w:r w:rsidR="0042397E">
        <w:rPr>
          <w:sz w:val="24"/>
          <w:szCs w:val="24"/>
        </w:rPr>
        <w:t>has even lower potential to emit.</w:t>
      </w:r>
    </w:p>
    <w:p w14:paraId="100D2E5E" w14:textId="77777777" w:rsidR="00897030" w:rsidRPr="006702B1" w:rsidRDefault="00897030" w:rsidP="006846E7">
      <w:pPr>
        <w:tabs>
          <w:tab w:val="left" w:pos="1080"/>
        </w:tabs>
        <w:ind w:left="1080"/>
        <w:jc w:val="both"/>
        <w:rPr>
          <w:sz w:val="24"/>
          <w:szCs w:val="24"/>
        </w:rPr>
      </w:pPr>
    </w:p>
    <w:p w14:paraId="7120EC93" w14:textId="16440072" w:rsidR="006846E7" w:rsidRDefault="006846E7" w:rsidP="006846E7">
      <w:pPr>
        <w:tabs>
          <w:tab w:val="left" w:pos="1080"/>
        </w:tabs>
        <w:ind w:left="1080"/>
        <w:jc w:val="both"/>
        <w:rPr>
          <w:sz w:val="24"/>
        </w:rPr>
      </w:pPr>
      <w:r w:rsidRPr="00A63B58">
        <w:rPr>
          <w:sz w:val="24"/>
          <w:szCs w:val="24"/>
        </w:rPr>
        <w:lastRenderedPageBreak/>
        <w:t>T</w:t>
      </w:r>
      <w:r>
        <w:rPr>
          <w:sz w:val="24"/>
        </w:rPr>
        <w:t xml:space="preserve">he </w:t>
      </w:r>
      <w:r w:rsidR="00D6641B" w:rsidRPr="002011EE">
        <w:rPr>
          <w:bCs/>
          <w:iCs/>
          <w:sz w:val="24"/>
          <w:szCs w:val="24"/>
        </w:rPr>
        <w:t>BACT</w:t>
      </w:r>
      <w:r w:rsidR="00D6641B" w:rsidRPr="002011EE">
        <w:rPr>
          <w:sz w:val="24"/>
          <w:szCs w:val="24"/>
        </w:rPr>
        <w:t xml:space="preserve"> </w:t>
      </w:r>
      <w:r>
        <w:rPr>
          <w:sz w:val="24"/>
        </w:rPr>
        <w:t xml:space="preserve">emission limits for </w:t>
      </w:r>
      <w:r w:rsidR="002011EE">
        <w:rPr>
          <w:sz w:val="24"/>
        </w:rPr>
        <w:t>Generators #1 and #2</w:t>
      </w:r>
      <w:r w:rsidR="004C2E15">
        <w:rPr>
          <w:b/>
          <w:i/>
          <w:sz w:val="24"/>
        </w:rPr>
        <w:t xml:space="preserve"> </w:t>
      </w:r>
      <w:r>
        <w:rPr>
          <w:sz w:val="24"/>
        </w:rPr>
        <w:t>are based on the following:</w:t>
      </w:r>
    </w:p>
    <w:p w14:paraId="4DA524CC" w14:textId="77777777" w:rsidR="00D14C3D" w:rsidRDefault="00D14C3D" w:rsidP="00DB2DFD">
      <w:pPr>
        <w:tabs>
          <w:tab w:val="left" w:pos="720"/>
          <w:tab w:val="left" w:pos="1080"/>
        </w:tabs>
        <w:ind w:left="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A30AD0" w:rsidRPr="00C22EA6" w14:paraId="2667FD81" w14:textId="77777777" w:rsidTr="008332DD">
        <w:tc>
          <w:tcPr>
            <w:tcW w:w="1980" w:type="dxa"/>
          </w:tcPr>
          <w:p w14:paraId="5381899D" w14:textId="77777777" w:rsidR="00A30AD0" w:rsidRPr="00C22EA6" w:rsidRDefault="00A30AD0" w:rsidP="00A30AD0">
            <w:pPr>
              <w:tabs>
                <w:tab w:val="left" w:pos="720"/>
                <w:tab w:val="left" w:pos="1080"/>
              </w:tabs>
              <w:jc w:val="both"/>
              <w:rPr>
                <w:sz w:val="24"/>
                <w:vertAlign w:val="subscript"/>
              </w:rPr>
            </w:pPr>
            <w:r w:rsidRPr="00C22EA6">
              <w:rPr>
                <w:sz w:val="24"/>
              </w:rPr>
              <w:t>PM/PM</w:t>
            </w:r>
            <w:r w:rsidRPr="00C22EA6">
              <w:rPr>
                <w:sz w:val="24"/>
                <w:vertAlign w:val="subscript"/>
              </w:rPr>
              <w:t>10</w:t>
            </w:r>
            <w:r w:rsidRPr="00C22EA6">
              <w:rPr>
                <w:sz w:val="24"/>
              </w:rPr>
              <w:t>/PM</w:t>
            </w:r>
            <w:r w:rsidRPr="00C22EA6">
              <w:rPr>
                <w:sz w:val="24"/>
                <w:vertAlign w:val="subscript"/>
              </w:rPr>
              <w:t>2.5</w:t>
            </w:r>
          </w:p>
        </w:tc>
        <w:tc>
          <w:tcPr>
            <w:tcW w:w="360" w:type="dxa"/>
          </w:tcPr>
          <w:p w14:paraId="2B892E45" w14:textId="77777777" w:rsidR="00A30AD0" w:rsidRPr="00C22EA6" w:rsidRDefault="00A30AD0" w:rsidP="00A30AD0">
            <w:pPr>
              <w:tabs>
                <w:tab w:val="left" w:pos="720"/>
                <w:tab w:val="left" w:pos="1080"/>
              </w:tabs>
              <w:ind w:left="252" w:hanging="252"/>
              <w:jc w:val="both"/>
              <w:rPr>
                <w:sz w:val="24"/>
              </w:rPr>
            </w:pPr>
            <w:r w:rsidRPr="00C22EA6">
              <w:rPr>
                <w:sz w:val="24"/>
              </w:rPr>
              <w:t>–</w:t>
            </w:r>
          </w:p>
        </w:tc>
        <w:tc>
          <w:tcPr>
            <w:tcW w:w="6120" w:type="dxa"/>
          </w:tcPr>
          <w:p w14:paraId="57071686" w14:textId="3FDD0BE8" w:rsidR="00A30AD0" w:rsidRPr="00C22EA6" w:rsidRDefault="00A30AD0" w:rsidP="00BA1B44">
            <w:pPr>
              <w:tabs>
                <w:tab w:val="left" w:pos="720"/>
                <w:tab w:val="left" w:pos="1080"/>
              </w:tabs>
              <w:ind w:left="345" w:hanging="345"/>
              <w:rPr>
                <w:sz w:val="24"/>
              </w:rPr>
            </w:pPr>
            <w:r w:rsidRPr="00C22EA6">
              <w:rPr>
                <w:sz w:val="24"/>
              </w:rPr>
              <w:t xml:space="preserve">0.12 </w:t>
            </w:r>
            <w:proofErr w:type="spellStart"/>
            <w:r w:rsidRPr="00C22EA6">
              <w:rPr>
                <w:sz w:val="24"/>
              </w:rPr>
              <w:t>lb</w:t>
            </w:r>
            <w:proofErr w:type="spellEnd"/>
            <w:r w:rsidRPr="00C22EA6">
              <w:rPr>
                <w:sz w:val="24"/>
              </w:rPr>
              <w:t xml:space="preserve">/MMBtu, 06-096 C.M.R. </w:t>
            </w:r>
            <w:proofErr w:type="spellStart"/>
            <w:r w:rsidRPr="00C22EA6">
              <w:rPr>
                <w:sz w:val="24"/>
              </w:rPr>
              <w:t>ch.</w:t>
            </w:r>
            <w:proofErr w:type="spellEnd"/>
            <w:r w:rsidRPr="00C22EA6">
              <w:rPr>
                <w:sz w:val="24"/>
              </w:rPr>
              <w:t xml:space="preserve"> 103 for </w:t>
            </w:r>
            <w:r w:rsidR="00897030" w:rsidRPr="00C22EA6">
              <w:rPr>
                <w:sz w:val="24"/>
              </w:rPr>
              <w:t xml:space="preserve">Generator #1; </w:t>
            </w:r>
            <w:r w:rsidRPr="00C22EA6">
              <w:rPr>
                <w:sz w:val="24"/>
              </w:rPr>
              <w:t>06</w:t>
            </w:r>
            <w:r w:rsidR="00C22EA6" w:rsidRPr="00C22EA6">
              <w:rPr>
                <w:sz w:val="24"/>
              </w:rPr>
              <w:noBreakHyphen/>
            </w:r>
            <w:r w:rsidRPr="00C22EA6">
              <w:rPr>
                <w:sz w:val="24"/>
              </w:rPr>
              <w:t>096</w:t>
            </w:r>
            <w:r w:rsidR="00C22EA6" w:rsidRPr="00C22EA6">
              <w:rPr>
                <w:sz w:val="24"/>
              </w:rPr>
              <w:t> </w:t>
            </w:r>
            <w:r w:rsidRPr="00C22EA6">
              <w:rPr>
                <w:sz w:val="24"/>
              </w:rPr>
              <w:t>C.M.R. ch. 115, B</w:t>
            </w:r>
            <w:r w:rsidR="00C22EA6" w:rsidRPr="00C22EA6">
              <w:rPr>
                <w:sz w:val="24"/>
              </w:rPr>
              <w:t>AC</w:t>
            </w:r>
            <w:r w:rsidRPr="00C22EA6">
              <w:rPr>
                <w:sz w:val="24"/>
              </w:rPr>
              <w:t>T</w:t>
            </w:r>
            <w:r w:rsidR="00C22EA6" w:rsidRPr="00C22EA6">
              <w:rPr>
                <w:sz w:val="24"/>
              </w:rPr>
              <w:t xml:space="preserve"> </w:t>
            </w:r>
            <w:r w:rsidRPr="00C22EA6">
              <w:rPr>
                <w:sz w:val="24"/>
              </w:rPr>
              <w:t xml:space="preserve">for </w:t>
            </w:r>
            <w:r w:rsidR="00C22EA6" w:rsidRPr="00C22EA6">
              <w:rPr>
                <w:sz w:val="24"/>
              </w:rPr>
              <w:t>Generator #2</w:t>
            </w:r>
          </w:p>
        </w:tc>
      </w:tr>
      <w:tr w:rsidR="00A30AD0" w:rsidRPr="00C22EA6" w14:paraId="1ACF04DB" w14:textId="77777777" w:rsidTr="008332DD">
        <w:tc>
          <w:tcPr>
            <w:tcW w:w="1980" w:type="dxa"/>
          </w:tcPr>
          <w:p w14:paraId="5FE98352" w14:textId="77777777" w:rsidR="00A30AD0" w:rsidRPr="00C22EA6" w:rsidRDefault="00A30AD0" w:rsidP="00A30AD0">
            <w:pPr>
              <w:tabs>
                <w:tab w:val="left" w:pos="720"/>
                <w:tab w:val="left" w:pos="1080"/>
              </w:tabs>
              <w:jc w:val="both"/>
              <w:rPr>
                <w:sz w:val="24"/>
              </w:rPr>
            </w:pPr>
            <w:r w:rsidRPr="00C22EA6">
              <w:rPr>
                <w:sz w:val="24"/>
              </w:rPr>
              <w:t>SO</w:t>
            </w:r>
            <w:r w:rsidRPr="00C22EA6">
              <w:rPr>
                <w:sz w:val="24"/>
                <w:vertAlign w:val="subscript"/>
              </w:rPr>
              <w:t>2</w:t>
            </w:r>
          </w:p>
        </w:tc>
        <w:tc>
          <w:tcPr>
            <w:tcW w:w="360" w:type="dxa"/>
          </w:tcPr>
          <w:p w14:paraId="1C5FC951" w14:textId="77777777" w:rsidR="00A30AD0" w:rsidRPr="00C22EA6" w:rsidRDefault="00A30AD0" w:rsidP="00A30AD0">
            <w:pPr>
              <w:tabs>
                <w:tab w:val="left" w:pos="720"/>
                <w:tab w:val="left" w:pos="1080"/>
              </w:tabs>
              <w:jc w:val="both"/>
              <w:rPr>
                <w:sz w:val="24"/>
              </w:rPr>
            </w:pPr>
            <w:r w:rsidRPr="00C22EA6">
              <w:rPr>
                <w:sz w:val="24"/>
              </w:rPr>
              <w:t>–</w:t>
            </w:r>
          </w:p>
        </w:tc>
        <w:tc>
          <w:tcPr>
            <w:tcW w:w="6120" w:type="dxa"/>
          </w:tcPr>
          <w:p w14:paraId="53369C1E" w14:textId="50054A4B" w:rsidR="00A30AD0" w:rsidRPr="00C22EA6" w:rsidRDefault="00A30AD0" w:rsidP="00BA1B44">
            <w:pPr>
              <w:tabs>
                <w:tab w:val="left" w:pos="720"/>
                <w:tab w:val="left" w:pos="1080"/>
              </w:tabs>
              <w:ind w:left="345" w:hanging="345"/>
              <w:rPr>
                <w:sz w:val="24"/>
              </w:rPr>
            </w:pPr>
            <w:r w:rsidRPr="00C22EA6">
              <w:rPr>
                <w:sz w:val="24"/>
              </w:rPr>
              <w:t>Combustion of distillate fuel with a maximum sulfur content not to exceed 15 ppm (0.0015% sulfur by weight)</w:t>
            </w:r>
          </w:p>
        </w:tc>
      </w:tr>
      <w:tr w:rsidR="00A30AD0" w:rsidRPr="00C22EA6" w14:paraId="3657303E" w14:textId="77777777" w:rsidTr="008332DD">
        <w:tc>
          <w:tcPr>
            <w:tcW w:w="1980" w:type="dxa"/>
          </w:tcPr>
          <w:p w14:paraId="12FA107D" w14:textId="77777777" w:rsidR="00A30AD0" w:rsidRPr="00C22EA6" w:rsidRDefault="00A30AD0" w:rsidP="00A30AD0">
            <w:pPr>
              <w:tabs>
                <w:tab w:val="left" w:pos="720"/>
                <w:tab w:val="left" w:pos="1080"/>
              </w:tabs>
              <w:jc w:val="both"/>
              <w:rPr>
                <w:sz w:val="24"/>
              </w:rPr>
            </w:pPr>
            <w:r w:rsidRPr="00C22EA6">
              <w:rPr>
                <w:sz w:val="24"/>
              </w:rPr>
              <w:t>NO</w:t>
            </w:r>
            <w:r w:rsidRPr="00C22EA6">
              <w:rPr>
                <w:sz w:val="24"/>
                <w:vertAlign w:val="subscript"/>
              </w:rPr>
              <w:t>x</w:t>
            </w:r>
          </w:p>
        </w:tc>
        <w:tc>
          <w:tcPr>
            <w:tcW w:w="360" w:type="dxa"/>
          </w:tcPr>
          <w:p w14:paraId="1E575777" w14:textId="77777777" w:rsidR="00A30AD0" w:rsidRPr="00C22EA6" w:rsidRDefault="00A30AD0" w:rsidP="00A30AD0">
            <w:pPr>
              <w:tabs>
                <w:tab w:val="left" w:pos="720"/>
                <w:tab w:val="left" w:pos="1080"/>
              </w:tabs>
              <w:jc w:val="both"/>
              <w:rPr>
                <w:sz w:val="24"/>
              </w:rPr>
            </w:pPr>
            <w:r w:rsidRPr="00C22EA6">
              <w:rPr>
                <w:sz w:val="24"/>
              </w:rPr>
              <w:t>–</w:t>
            </w:r>
          </w:p>
        </w:tc>
        <w:tc>
          <w:tcPr>
            <w:tcW w:w="6120" w:type="dxa"/>
          </w:tcPr>
          <w:p w14:paraId="760002E6" w14:textId="28C46D85" w:rsidR="00A30AD0" w:rsidRPr="00C22EA6" w:rsidRDefault="00A30AD0" w:rsidP="00BA1B44">
            <w:pPr>
              <w:tabs>
                <w:tab w:val="left" w:pos="720"/>
                <w:tab w:val="left" w:pos="1080"/>
              </w:tabs>
              <w:ind w:left="345" w:hanging="345"/>
              <w:rPr>
                <w:sz w:val="24"/>
              </w:rPr>
            </w:pPr>
            <w:r w:rsidRPr="00C22EA6">
              <w:rPr>
                <w:sz w:val="24"/>
              </w:rPr>
              <w:t xml:space="preserve">3.2 </w:t>
            </w:r>
            <w:proofErr w:type="spellStart"/>
            <w:r w:rsidRPr="00C22EA6">
              <w:rPr>
                <w:sz w:val="24"/>
              </w:rPr>
              <w:t>lb</w:t>
            </w:r>
            <w:proofErr w:type="spellEnd"/>
            <w:r w:rsidRPr="00C22EA6">
              <w:rPr>
                <w:sz w:val="24"/>
              </w:rPr>
              <w:t xml:space="preserve">/MMBtu from AP-42 Table 3.4-1 dated 4/25 </w:t>
            </w:r>
            <w:r w:rsidR="00C22EA6">
              <w:rPr>
                <w:sz w:val="24"/>
              </w:rPr>
              <w:t>(</w:t>
            </w:r>
            <w:r w:rsidRPr="00C22EA6">
              <w:rPr>
                <w:sz w:val="24"/>
              </w:rPr>
              <w:t xml:space="preserve">for </w:t>
            </w:r>
            <w:r w:rsidR="00C22EA6">
              <w:rPr>
                <w:sz w:val="24"/>
              </w:rPr>
              <w:t>Generator #1)</w:t>
            </w:r>
          </w:p>
          <w:p w14:paraId="0F1F7200" w14:textId="65D19982" w:rsidR="00A30AD0" w:rsidRPr="00C22EA6" w:rsidRDefault="00A30AD0" w:rsidP="00BA1B44">
            <w:pPr>
              <w:tabs>
                <w:tab w:val="left" w:pos="720"/>
                <w:tab w:val="left" w:pos="1080"/>
              </w:tabs>
              <w:ind w:left="345" w:hanging="345"/>
              <w:rPr>
                <w:sz w:val="24"/>
              </w:rPr>
            </w:pPr>
            <w:r w:rsidRPr="00C22EA6">
              <w:rPr>
                <w:sz w:val="24"/>
              </w:rPr>
              <w:t xml:space="preserve">4.41 </w:t>
            </w:r>
            <w:proofErr w:type="spellStart"/>
            <w:r w:rsidRPr="00C22EA6">
              <w:rPr>
                <w:sz w:val="24"/>
              </w:rPr>
              <w:t>lb</w:t>
            </w:r>
            <w:proofErr w:type="spellEnd"/>
            <w:r w:rsidRPr="00C22EA6">
              <w:rPr>
                <w:sz w:val="24"/>
              </w:rPr>
              <w:t xml:space="preserve">/MMBtu from AP-42 Table 3.3-1 dated 4/25 (for </w:t>
            </w:r>
            <w:r w:rsidR="00C22EA6">
              <w:rPr>
                <w:sz w:val="24"/>
              </w:rPr>
              <w:t>Generator #2</w:t>
            </w:r>
            <w:r w:rsidRPr="00C22EA6">
              <w:rPr>
                <w:sz w:val="24"/>
              </w:rPr>
              <w:t>)</w:t>
            </w:r>
          </w:p>
        </w:tc>
      </w:tr>
      <w:tr w:rsidR="00A30AD0" w:rsidRPr="00C22EA6" w14:paraId="47F5CF13" w14:textId="77777777" w:rsidTr="008332DD">
        <w:tc>
          <w:tcPr>
            <w:tcW w:w="1980" w:type="dxa"/>
          </w:tcPr>
          <w:p w14:paraId="49E2908A" w14:textId="77777777" w:rsidR="00A30AD0" w:rsidRPr="00C22EA6" w:rsidRDefault="00A30AD0" w:rsidP="00A30AD0">
            <w:pPr>
              <w:tabs>
                <w:tab w:val="left" w:pos="720"/>
                <w:tab w:val="left" w:pos="1080"/>
              </w:tabs>
              <w:jc w:val="both"/>
              <w:rPr>
                <w:sz w:val="24"/>
              </w:rPr>
            </w:pPr>
            <w:r w:rsidRPr="00C22EA6">
              <w:rPr>
                <w:sz w:val="24"/>
              </w:rPr>
              <w:t>CO</w:t>
            </w:r>
          </w:p>
        </w:tc>
        <w:tc>
          <w:tcPr>
            <w:tcW w:w="360" w:type="dxa"/>
          </w:tcPr>
          <w:p w14:paraId="13CFEC0E" w14:textId="77777777" w:rsidR="00A30AD0" w:rsidRPr="00C22EA6" w:rsidRDefault="00A30AD0" w:rsidP="00A30AD0">
            <w:pPr>
              <w:tabs>
                <w:tab w:val="left" w:pos="720"/>
                <w:tab w:val="left" w:pos="1080"/>
              </w:tabs>
              <w:jc w:val="both"/>
              <w:rPr>
                <w:sz w:val="24"/>
              </w:rPr>
            </w:pPr>
            <w:r w:rsidRPr="00C22EA6">
              <w:rPr>
                <w:sz w:val="24"/>
              </w:rPr>
              <w:t>–</w:t>
            </w:r>
          </w:p>
        </w:tc>
        <w:tc>
          <w:tcPr>
            <w:tcW w:w="6120" w:type="dxa"/>
          </w:tcPr>
          <w:p w14:paraId="2A268CE7" w14:textId="122C902B" w:rsidR="00A30AD0" w:rsidRPr="00C22EA6" w:rsidRDefault="00A30AD0" w:rsidP="00BA1B44">
            <w:pPr>
              <w:tabs>
                <w:tab w:val="left" w:pos="720"/>
                <w:tab w:val="left" w:pos="1080"/>
              </w:tabs>
              <w:ind w:left="345" w:hanging="345"/>
              <w:rPr>
                <w:sz w:val="24"/>
              </w:rPr>
            </w:pPr>
            <w:r w:rsidRPr="00C22EA6">
              <w:rPr>
                <w:sz w:val="24"/>
              </w:rPr>
              <w:t xml:space="preserve">0.85 </w:t>
            </w:r>
            <w:proofErr w:type="spellStart"/>
            <w:r w:rsidRPr="00C22EA6">
              <w:rPr>
                <w:sz w:val="24"/>
              </w:rPr>
              <w:t>lb</w:t>
            </w:r>
            <w:proofErr w:type="spellEnd"/>
            <w:r w:rsidRPr="00C22EA6">
              <w:rPr>
                <w:sz w:val="24"/>
              </w:rPr>
              <w:t xml:space="preserve">/MMBtu from AP-42 Table 3.4-1 dated 4/25 (for </w:t>
            </w:r>
            <w:r w:rsidR="00C22EA6">
              <w:rPr>
                <w:sz w:val="24"/>
              </w:rPr>
              <w:t>Generator #1</w:t>
            </w:r>
            <w:r w:rsidRPr="00C22EA6">
              <w:rPr>
                <w:sz w:val="24"/>
              </w:rPr>
              <w:t>)</w:t>
            </w:r>
          </w:p>
          <w:p w14:paraId="74963518" w14:textId="087DE817" w:rsidR="00A30AD0" w:rsidRPr="00C22EA6" w:rsidRDefault="00A30AD0" w:rsidP="00BA1B44">
            <w:pPr>
              <w:tabs>
                <w:tab w:val="left" w:pos="720"/>
                <w:tab w:val="left" w:pos="1080"/>
              </w:tabs>
              <w:ind w:left="345" w:hanging="345"/>
              <w:rPr>
                <w:sz w:val="24"/>
              </w:rPr>
            </w:pPr>
            <w:r w:rsidRPr="00C22EA6">
              <w:rPr>
                <w:sz w:val="24"/>
              </w:rPr>
              <w:t xml:space="preserve">0.95 </w:t>
            </w:r>
            <w:proofErr w:type="spellStart"/>
            <w:r w:rsidRPr="00C22EA6">
              <w:rPr>
                <w:sz w:val="24"/>
              </w:rPr>
              <w:t>lb</w:t>
            </w:r>
            <w:proofErr w:type="spellEnd"/>
            <w:r w:rsidRPr="00C22EA6">
              <w:rPr>
                <w:sz w:val="24"/>
              </w:rPr>
              <w:t xml:space="preserve">/MMBtu from AP-42 Table 3.3-1 dated 4/25 (for </w:t>
            </w:r>
            <w:r w:rsidR="00C22EA6">
              <w:rPr>
                <w:sz w:val="24"/>
              </w:rPr>
              <w:t>Generator #2</w:t>
            </w:r>
            <w:r w:rsidRPr="00C22EA6">
              <w:rPr>
                <w:sz w:val="24"/>
              </w:rPr>
              <w:t>)</w:t>
            </w:r>
          </w:p>
        </w:tc>
      </w:tr>
      <w:tr w:rsidR="00A30AD0" w:rsidRPr="00C22EA6" w14:paraId="74AF98F4" w14:textId="77777777" w:rsidTr="008332DD">
        <w:tc>
          <w:tcPr>
            <w:tcW w:w="1980" w:type="dxa"/>
          </w:tcPr>
          <w:p w14:paraId="3C15F1CE" w14:textId="77777777" w:rsidR="00A30AD0" w:rsidRPr="00C22EA6" w:rsidRDefault="00A30AD0" w:rsidP="00A30AD0">
            <w:pPr>
              <w:tabs>
                <w:tab w:val="left" w:pos="720"/>
                <w:tab w:val="left" w:pos="1080"/>
              </w:tabs>
              <w:jc w:val="both"/>
              <w:rPr>
                <w:sz w:val="24"/>
              </w:rPr>
            </w:pPr>
            <w:r w:rsidRPr="00C22EA6">
              <w:rPr>
                <w:sz w:val="24"/>
              </w:rPr>
              <w:t>VOC</w:t>
            </w:r>
          </w:p>
        </w:tc>
        <w:tc>
          <w:tcPr>
            <w:tcW w:w="360" w:type="dxa"/>
          </w:tcPr>
          <w:p w14:paraId="30EA46E0" w14:textId="77777777" w:rsidR="00A30AD0" w:rsidRPr="00C22EA6" w:rsidRDefault="00A30AD0" w:rsidP="00A30AD0">
            <w:pPr>
              <w:tabs>
                <w:tab w:val="left" w:pos="720"/>
                <w:tab w:val="left" w:pos="1080"/>
              </w:tabs>
              <w:jc w:val="both"/>
              <w:rPr>
                <w:sz w:val="24"/>
              </w:rPr>
            </w:pPr>
            <w:r w:rsidRPr="00C22EA6">
              <w:rPr>
                <w:sz w:val="24"/>
              </w:rPr>
              <w:t>–</w:t>
            </w:r>
          </w:p>
        </w:tc>
        <w:tc>
          <w:tcPr>
            <w:tcW w:w="6120" w:type="dxa"/>
          </w:tcPr>
          <w:p w14:paraId="03DE02C3" w14:textId="2FA18713" w:rsidR="00A30AD0" w:rsidRPr="00C22EA6" w:rsidRDefault="00A30AD0" w:rsidP="00BA1B44">
            <w:pPr>
              <w:tabs>
                <w:tab w:val="left" w:pos="720"/>
                <w:tab w:val="left" w:pos="1080"/>
              </w:tabs>
              <w:ind w:left="345" w:hanging="345"/>
              <w:rPr>
                <w:sz w:val="24"/>
              </w:rPr>
            </w:pPr>
            <w:r w:rsidRPr="00C22EA6">
              <w:rPr>
                <w:sz w:val="24"/>
              </w:rPr>
              <w:t xml:space="preserve">0.09 </w:t>
            </w:r>
            <w:proofErr w:type="spellStart"/>
            <w:r w:rsidRPr="00C22EA6">
              <w:rPr>
                <w:sz w:val="24"/>
              </w:rPr>
              <w:t>lb</w:t>
            </w:r>
            <w:proofErr w:type="spellEnd"/>
            <w:r w:rsidRPr="00C22EA6">
              <w:rPr>
                <w:sz w:val="24"/>
              </w:rPr>
              <w:t xml:space="preserve">/MMBtu from AP-42 Table 3.4-1 dated 4/25 (for </w:t>
            </w:r>
            <w:r w:rsidR="00C22EA6">
              <w:rPr>
                <w:sz w:val="24"/>
              </w:rPr>
              <w:t>Generator #1</w:t>
            </w:r>
            <w:r w:rsidRPr="00C22EA6">
              <w:rPr>
                <w:sz w:val="24"/>
              </w:rPr>
              <w:t>)</w:t>
            </w:r>
          </w:p>
          <w:p w14:paraId="610042AB" w14:textId="76D31A11" w:rsidR="00A30AD0" w:rsidRPr="00C22EA6" w:rsidRDefault="00A30AD0" w:rsidP="00BA1B44">
            <w:pPr>
              <w:tabs>
                <w:tab w:val="left" w:pos="720"/>
                <w:tab w:val="left" w:pos="1080"/>
              </w:tabs>
              <w:ind w:left="345" w:hanging="345"/>
              <w:rPr>
                <w:sz w:val="24"/>
              </w:rPr>
            </w:pPr>
            <w:r w:rsidRPr="00C22EA6">
              <w:rPr>
                <w:sz w:val="24"/>
              </w:rPr>
              <w:t xml:space="preserve">0.36 </w:t>
            </w:r>
            <w:proofErr w:type="spellStart"/>
            <w:r w:rsidRPr="00C22EA6">
              <w:rPr>
                <w:sz w:val="24"/>
              </w:rPr>
              <w:t>lb</w:t>
            </w:r>
            <w:proofErr w:type="spellEnd"/>
            <w:r w:rsidRPr="00C22EA6">
              <w:rPr>
                <w:sz w:val="24"/>
              </w:rPr>
              <w:t>/MMBtu from AP-42 Table 3.3-1 dated 4/25 (for</w:t>
            </w:r>
            <w:r w:rsidR="00C22EA6">
              <w:rPr>
                <w:sz w:val="24"/>
              </w:rPr>
              <w:t xml:space="preserve"> Generator #2</w:t>
            </w:r>
            <w:r w:rsidRPr="00C22EA6">
              <w:rPr>
                <w:sz w:val="24"/>
              </w:rPr>
              <w:t>)</w:t>
            </w:r>
          </w:p>
        </w:tc>
      </w:tr>
      <w:tr w:rsidR="00A30AD0" w:rsidRPr="00C22EA6" w14:paraId="0B7D68C4" w14:textId="77777777" w:rsidTr="008332DD">
        <w:tc>
          <w:tcPr>
            <w:tcW w:w="1980" w:type="dxa"/>
          </w:tcPr>
          <w:p w14:paraId="0F8BC33A" w14:textId="77777777" w:rsidR="00A30AD0" w:rsidRPr="00C22EA6" w:rsidRDefault="00A30AD0" w:rsidP="00A30AD0">
            <w:pPr>
              <w:tabs>
                <w:tab w:val="left" w:pos="720"/>
                <w:tab w:val="left" w:pos="1080"/>
              </w:tabs>
              <w:jc w:val="both"/>
              <w:rPr>
                <w:sz w:val="24"/>
              </w:rPr>
            </w:pPr>
            <w:r w:rsidRPr="00C22EA6">
              <w:rPr>
                <w:sz w:val="24"/>
              </w:rPr>
              <w:t>Visible Emissions</w:t>
            </w:r>
          </w:p>
        </w:tc>
        <w:tc>
          <w:tcPr>
            <w:tcW w:w="360" w:type="dxa"/>
          </w:tcPr>
          <w:p w14:paraId="7FCD41D6" w14:textId="77777777" w:rsidR="00A30AD0" w:rsidRPr="00C22EA6" w:rsidRDefault="00A30AD0" w:rsidP="00A30AD0">
            <w:pPr>
              <w:tabs>
                <w:tab w:val="left" w:pos="720"/>
                <w:tab w:val="left" w:pos="1080"/>
              </w:tabs>
              <w:jc w:val="both"/>
              <w:rPr>
                <w:sz w:val="24"/>
              </w:rPr>
            </w:pPr>
            <w:r w:rsidRPr="00C22EA6">
              <w:rPr>
                <w:sz w:val="24"/>
              </w:rPr>
              <w:t>–</w:t>
            </w:r>
          </w:p>
        </w:tc>
        <w:tc>
          <w:tcPr>
            <w:tcW w:w="6120" w:type="dxa"/>
          </w:tcPr>
          <w:p w14:paraId="49E3A9F0" w14:textId="222DB734" w:rsidR="00A30AD0" w:rsidRPr="00C22EA6" w:rsidRDefault="00A30AD0" w:rsidP="00BA1B44">
            <w:pPr>
              <w:tabs>
                <w:tab w:val="left" w:pos="720"/>
                <w:tab w:val="left" w:pos="1080"/>
              </w:tabs>
              <w:ind w:left="345" w:hanging="345"/>
              <w:rPr>
                <w:sz w:val="24"/>
              </w:rPr>
            </w:pPr>
            <w:r w:rsidRPr="00C22EA6">
              <w:rPr>
                <w:sz w:val="24"/>
              </w:rPr>
              <w:t>06-096 C.M.R. ch. 101</w:t>
            </w:r>
          </w:p>
        </w:tc>
      </w:tr>
    </w:tbl>
    <w:p w14:paraId="6528D61C" w14:textId="77777777" w:rsidR="00DB2DFD" w:rsidRDefault="00DB2DFD" w:rsidP="00DB2DFD">
      <w:pPr>
        <w:tabs>
          <w:tab w:val="left" w:pos="720"/>
          <w:tab w:val="left" w:pos="1080"/>
        </w:tabs>
        <w:ind w:left="1080"/>
        <w:jc w:val="both"/>
        <w:rPr>
          <w:sz w:val="24"/>
        </w:rPr>
      </w:pPr>
    </w:p>
    <w:p w14:paraId="6AAACD25" w14:textId="5BE65F4A"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D6641B" w:rsidRPr="00A30AD0">
        <w:rPr>
          <w:bCs/>
          <w:iCs/>
          <w:sz w:val="24"/>
          <w:szCs w:val="24"/>
        </w:rPr>
        <w:t>BACT</w:t>
      </w:r>
      <w:r w:rsidR="00D6641B">
        <w:t xml:space="preserve"> </w:t>
      </w:r>
      <w:r>
        <w:rPr>
          <w:sz w:val="24"/>
        </w:rPr>
        <w:t xml:space="preserve">emission limits for </w:t>
      </w:r>
      <w:r w:rsidR="00A30AD0">
        <w:rPr>
          <w:sz w:val="24"/>
        </w:rPr>
        <w:t>Generators #1 and #2</w:t>
      </w:r>
      <w:r>
        <w:rPr>
          <w:sz w:val="24"/>
        </w:rPr>
        <w:t xml:space="preserve"> are the following:</w:t>
      </w:r>
    </w:p>
    <w:p w14:paraId="358D0552" w14:textId="77777777" w:rsidR="006846E7" w:rsidRPr="000C25CA" w:rsidRDefault="006846E7" w:rsidP="006846E7">
      <w:pPr>
        <w:tabs>
          <w:tab w:val="left" w:pos="1440"/>
        </w:tabs>
        <w:ind w:left="1080"/>
        <w:jc w:val="both"/>
        <w:rPr>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B2DFD" w:rsidRPr="005922AF" w14:paraId="759D9BB2" w14:textId="77777777" w:rsidTr="004D73B0">
        <w:trPr>
          <w:tblHeader/>
        </w:trPr>
        <w:tc>
          <w:tcPr>
            <w:tcW w:w="1947" w:type="dxa"/>
            <w:shd w:val="clear" w:color="auto" w:fill="D9D9D9" w:themeFill="background1" w:themeFillShade="D9"/>
            <w:vAlign w:val="bottom"/>
          </w:tcPr>
          <w:p w14:paraId="0E8FBC72" w14:textId="77777777" w:rsidR="00DB2DFD" w:rsidRPr="002B0947" w:rsidRDefault="00DB2DFD" w:rsidP="004D73B0">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3B3D0CCC" w14:textId="77777777" w:rsidR="00DB2DFD" w:rsidRPr="002B0947" w:rsidRDefault="00DB2DFD" w:rsidP="004D73B0">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3020CE78" w14:textId="77777777" w:rsidR="00DB2DFD" w:rsidRPr="002B0947" w:rsidRDefault="00DB2DFD" w:rsidP="004D73B0">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DB2DFD" w:rsidRPr="005922AF" w14:paraId="337641D5" w14:textId="77777777" w:rsidTr="004D73B0">
        <w:trPr>
          <w:trHeight w:val="72"/>
        </w:trPr>
        <w:tc>
          <w:tcPr>
            <w:tcW w:w="1947" w:type="dxa"/>
          </w:tcPr>
          <w:p w14:paraId="3A6AEE28" w14:textId="222A1C15" w:rsidR="00DB2DFD" w:rsidRPr="002B0947" w:rsidRDefault="00DB2DFD" w:rsidP="004D73B0">
            <w:pPr>
              <w:tabs>
                <w:tab w:val="left" w:pos="720"/>
              </w:tabs>
              <w:rPr>
                <w:sz w:val="22"/>
                <w:szCs w:val="22"/>
              </w:rPr>
            </w:pPr>
            <w:r w:rsidRPr="002B0947">
              <w:rPr>
                <w:sz w:val="22"/>
                <w:szCs w:val="22"/>
              </w:rPr>
              <w:t>Generator #</w:t>
            </w:r>
            <w:r w:rsidR="00A30AD0">
              <w:rPr>
                <w:sz w:val="22"/>
                <w:szCs w:val="22"/>
              </w:rPr>
              <w:t>1</w:t>
            </w:r>
          </w:p>
        </w:tc>
        <w:tc>
          <w:tcPr>
            <w:tcW w:w="1170" w:type="dxa"/>
          </w:tcPr>
          <w:p w14:paraId="333F3CFD" w14:textId="77777777" w:rsidR="00DB2DFD" w:rsidRPr="002B0947" w:rsidRDefault="00DB2DFD" w:rsidP="004D73B0">
            <w:pPr>
              <w:tabs>
                <w:tab w:val="left" w:pos="720"/>
              </w:tabs>
              <w:jc w:val="center"/>
              <w:rPr>
                <w:sz w:val="22"/>
                <w:szCs w:val="22"/>
              </w:rPr>
            </w:pPr>
            <w:r w:rsidRPr="002B0947">
              <w:rPr>
                <w:sz w:val="22"/>
                <w:szCs w:val="22"/>
              </w:rPr>
              <w:t>PM</w:t>
            </w:r>
          </w:p>
        </w:tc>
        <w:tc>
          <w:tcPr>
            <w:tcW w:w="1350" w:type="dxa"/>
          </w:tcPr>
          <w:p w14:paraId="1C138231" w14:textId="77777777" w:rsidR="00DB2DFD" w:rsidRPr="002B0947" w:rsidRDefault="00DB2DFD" w:rsidP="004D73B0">
            <w:pPr>
              <w:tabs>
                <w:tab w:val="left" w:pos="720"/>
              </w:tabs>
              <w:jc w:val="center"/>
              <w:rPr>
                <w:sz w:val="22"/>
                <w:szCs w:val="22"/>
              </w:rPr>
            </w:pPr>
            <w:r w:rsidRPr="002B0947">
              <w:rPr>
                <w:sz w:val="22"/>
                <w:szCs w:val="22"/>
              </w:rPr>
              <w:t>0.12</w:t>
            </w:r>
          </w:p>
        </w:tc>
      </w:tr>
    </w:tbl>
    <w:p w14:paraId="779C3609"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4BD8CDEE" w14:textId="77777777" w:rsidTr="004D73B0">
        <w:trPr>
          <w:cantSplit/>
          <w:tblHeader/>
        </w:trPr>
        <w:tc>
          <w:tcPr>
            <w:tcW w:w="1947" w:type="dxa"/>
            <w:shd w:val="clear" w:color="auto" w:fill="D9D9D9" w:themeFill="background1" w:themeFillShade="D9"/>
            <w:vAlign w:val="bottom"/>
          </w:tcPr>
          <w:p w14:paraId="3ED1F513"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17B3B2D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63E0D33F"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314FC5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7226BE1"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1E916664"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4B11C10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0326F3F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086972E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06A5958"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1AF269B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0CF4DF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0BEF5341"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759998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4363199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DB2DFD" w:rsidRPr="00A001F1" w14:paraId="3E81A92E" w14:textId="77777777" w:rsidTr="00116E58">
        <w:trPr>
          <w:cantSplit/>
          <w:trHeight w:val="72"/>
        </w:trPr>
        <w:tc>
          <w:tcPr>
            <w:tcW w:w="1947" w:type="dxa"/>
            <w:vAlign w:val="center"/>
          </w:tcPr>
          <w:p w14:paraId="5760FFC6" w14:textId="448410A5" w:rsidR="00DB2DFD" w:rsidRPr="002B0947" w:rsidRDefault="00DB2DFD" w:rsidP="00116E58">
            <w:pPr>
              <w:rPr>
                <w:sz w:val="22"/>
                <w:szCs w:val="22"/>
              </w:rPr>
            </w:pPr>
            <w:r w:rsidRPr="002B0947">
              <w:rPr>
                <w:sz w:val="22"/>
                <w:szCs w:val="22"/>
              </w:rPr>
              <w:t>Generator #</w:t>
            </w:r>
            <w:r w:rsidR="00A30AD0">
              <w:rPr>
                <w:sz w:val="22"/>
                <w:szCs w:val="22"/>
              </w:rPr>
              <w:t>1</w:t>
            </w:r>
          </w:p>
        </w:tc>
        <w:tc>
          <w:tcPr>
            <w:tcW w:w="892" w:type="dxa"/>
            <w:vAlign w:val="center"/>
          </w:tcPr>
          <w:p w14:paraId="3F412061" w14:textId="2032C298"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892" w:type="dxa"/>
            <w:vAlign w:val="center"/>
          </w:tcPr>
          <w:p w14:paraId="4083EDB9" w14:textId="273EDC13"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892" w:type="dxa"/>
            <w:vAlign w:val="center"/>
          </w:tcPr>
          <w:p w14:paraId="2043ACCC" w14:textId="755D5A52"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892" w:type="dxa"/>
            <w:vAlign w:val="center"/>
          </w:tcPr>
          <w:p w14:paraId="5F48D8BD" w14:textId="30D60B56"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892" w:type="dxa"/>
            <w:vAlign w:val="center"/>
          </w:tcPr>
          <w:p w14:paraId="08AFA135" w14:textId="51FAD833"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31.68</w:t>
            </w:r>
          </w:p>
        </w:tc>
        <w:tc>
          <w:tcPr>
            <w:tcW w:w="892" w:type="dxa"/>
            <w:vAlign w:val="center"/>
          </w:tcPr>
          <w:p w14:paraId="54C819DC" w14:textId="1DB8C114"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8.42</w:t>
            </w:r>
          </w:p>
        </w:tc>
        <w:tc>
          <w:tcPr>
            <w:tcW w:w="892" w:type="dxa"/>
            <w:vAlign w:val="center"/>
          </w:tcPr>
          <w:p w14:paraId="1B950230" w14:textId="58423585"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0.89</w:t>
            </w:r>
          </w:p>
        </w:tc>
      </w:tr>
      <w:tr w:rsidR="00DB2DFD" w:rsidRPr="00A001F1" w14:paraId="0A2E45CC" w14:textId="77777777" w:rsidTr="00116E58">
        <w:trPr>
          <w:cantSplit/>
          <w:trHeight w:val="72"/>
        </w:trPr>
        <w:tc>
          <w:tcPr>
            <w:tcW w:w="1947" w:type="dxa"/>
            <w:vAlign w:val="center"/>
          </w:tcPr>
          <w:p w14:paraId="1356A28C" w14:textId="197F5A91" w:rsidR="00DB2DFD" w:rsidRPr="002B0947" w:rsidRDefault="00DB2DFD" w:rsidP="00116E58">
            <w:pPr>
              <w:rPr>
                <w:sz w:val="22"/>
                <w:szCs w:val="22"/>
              </w:rPr>
            </w:pPr>
            <w:r w:rsidRPr="002B0947">
              <w:rPr>
                <w:sz w:val="22"/>
                <w:szCs w:val="22"/>
              </w:rPr>
              <w:t>Generator #</w:t>
            </w:r>
            <w:r w:rsidR="00A30AD0">
              <w:rPr>
                <w:sz w:val="22"/>
                <w:szCs w:val="22"/>
              </w:rPr>
              <w:t>2</w:t>
            </w:r>
          </w:p>
        </w:tc>
        <w:tc>
          <w:tcPr>
            <w:tcW w:w="892" w:type="dxa"/>
            <w:vAlign w:val="center"/>
          </w:tcPr>
          <w:p w14:paraId="7DA69DE9" w14:textId="490D4DA9"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892" w:type="dxa"/>
            <w:vAlign w:val="center"/>
          </w:tcPr>
          <w:p w14:paraId="7C04F7AA" w14:textId="22C045C3"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892" w:type="dxa"/>
            <w:vAlign w:val="center"/>
          </w:tcPr>
          <w:p w14:paraId="659E370E" w14:textId="2E580807"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892" w:type="dxa"/>
            <w:vAlign w:val="center"/>
          </w:tcPr>
          <w:p w14:paraId="01B30F7F" w14:textId="5CF4BE5A"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4D6634D5" w14:textId="177F57E4"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4.23</w:t>
            </w:r>
          </w:p>
        </w:tc>
        <w:tc>
          <w:tcPr>
            <w:tcW w:w="892" w:type="dxa"/>
            <w:vAlign w:val="center"/>
          </w:tcPr>
          <w:p w14:paraId="6505A3F9" w14:textId="65F4B907"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892" w:type="dxa"/>
            <w:vAlign w:val="center"/>
          </w:tcPr>
          <w:p w14:paraId="24707B13" w14:textId="246B1A98" w:rsidR="00DB2DFD" w:rsidRPr="002B0947" w:rsidRDefault="00A30AD0"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r>
    </w:tbl>
    <w:p w14:paraId="2C3857EF" w14:textId="77777777" w:rsidR="006846E7" w:rsidRDefault="006846E7" w:rsidP="006846E7">
      <w:pPr>
        <w:tabs>
          <w:tab w:val="left" w:pos="1440"/>
        </w:tabs>
        <w:ind w:left="1080"/>
        <w:jc w:val="both"/>
        <w:rPr>
          <w:sz w:val="24"/>
          <w:szCs w:val="24"/>
        </w:rPr>
      </w:pPr>
      <w:bookmarkStart w:id="3" w:name="_Hlk146720603"/>
    </w:p>
    <w:p w14:paraId="6EDAB8AD" w14:textId="0DA970C6" w:rsidR="00F02A4E" w:rsidRDefault="00F02A4E" w:rsidP="00F02A4E">
      <w:pPr>
        <w:pStyle w:val="BodyTextIndent3"/>
        <w:tabs>
          <w:tab w:val="left" w:pos="1080"/>
          <w:tab w:val="left" w:pos="1440"/>
          <w:tab w:val="left" w:pos="1800"/>
          <w:tab w:val="left" w:pos="2700"/>
        </w:tabs>
        <w:ind w:left="1080"/>
        <w:rPr>
          <w:b/>
          <w:i/>
        </w:rPr>
      </w:pPr>
      <w:r w:rsidRPr="00944869">
        <w:t xml:space="preserve">Visible emissions from </w:t>
      </w:r>
      <w:r w:rsidR="00A30AD0">
        <w:t xml:space="preserve">Generators #1 and #2 </w:t>
      </w:r>
      <w:r w:rsidRPr="00944869">
        <w:t>shall</w:t>
      </w:r>
      <w:r w:rsidR="00A30AD0">
        <w:t xml:space="preserve"> each</w:t>
      </w:r>
      <w:r w:rsidRPr="00944869">
        <w:t xml:space="preserve"> not exceed 20% opacity on a six-minute block average basis</w:t>
      </w:r>
      <w:r>
        <w:t>.</w:t>
      </w:r>
    </w:p>
    <w:p w14:paraId="57EBC02E" w14:textId="77777777" w:rsidR="00F02A4E" w:rsidRDefault="00F02A4E" w:rsidP="00712292">
      <w:pPr>
        <w:pStyle w:val="BodyTextIndent3"/>
        <w:tabs>
          <w:tab w:val="left" w:pos="1080"/>
          <w:tab w:val="left" w:pos="1440"/>
          <w:tab w:val="left" w:pos="1800"/>
          <w:tab w:val="left" w:pos="2700"/>
        </w:tabs>
        <w:ind w:left="1080"/>
        <w:rPr>
          <w:b/>
          <w:i/>
        </w:rPr>
      </w:pPr>
    </w:p>
    <w:p w14:paraId="54C7D2A6" w14:textId="5A64CFB9" w:rsidR="00C7290B" w:rsidRPr="00C7290B" w:rsidRDefault="00C7290B" w:rsidP="00712292">
      <w:pPr>
        <w:ind w:left="1080"/>
        <w:jc w:val="both"/>
        <w:rPr>
          <w:bCs/>
          <w:iCs/>
          <w:sz w:val="24"/>
          <w:szCs w:val="24"/>
        </w:rPr>
      </w:pPr>
      <w:r w:rsidRPr="008332DD">
        <w:rPr>
          <w:sz w:val="24"/>
          <w:szCs w:val="24"/>
        </w:rPr>
        <w:t xml:space="preserve">BACT </w:t>
      </w:r>
      <w:r w:rsidRPr="00C7290B">
        <w:rPr>
          <w:sz w:val="24"/>
          <w:szCs w:val="24"/>
        </w:rPr>
        <w:t xml:space="preserve">for </w:t>
      </w:r>
      <w:r w:rsidR="008332DD">
        <w:rPr>
          <w:sz w:val="24"/>
          <w:szCs w:val="24"/>
        </w:rPr>
        <w:t>Generators #1 and #2</w:t>
      </w:r>
      <w:r>
        <w:rPr>
          <w:bCs/>
          <w:iCs/>
          <w:sz w:val="24"/>
          <w:szCs w:val="24"/>
        </w:rPr>
        <w:t xml:space="preserve"> includes recordkeeping of all maintenance </w:t>
      </w:r>
      <w:r w:rsidR="004B2036">
        <w:rPr>
          <w:bCs/>
          <w:iCs/>
          <w:sz w:val="24"/>
          <w:szCs w:val="24"/>
        </w:rPr>
        <w:t>conducted on each engine.</w:t>
      </w:r>
    </w:p>
    <w:bookmarkEnd w:id="3"/>
    <w:p w14:paraId="10E9147B" w14:textId="77777777" w:rsidR="006846E7" w:rsidRDefault="006846E7" w:rsidP="006846E7">
      <w:pPr>
        <w:tabs>
          <w:tab w:val="left" w:pos="720"/>
          <w:tab w:val="left" w:pos="1080"/>
        </w:tabs>
        <w:ind w:left="720" w:hanging="720"/>
        <w:jc w:val="both"/>
        <w:rPr>
          <w:sz w:val="24"/>
          <w:szCs w:val="24"/>
        </w:rPr>
      </w:pPr>
    </w:p>
    <w:p w14:paraId="58C374EB" w14:textId="77777777" w:rsidR="002010E5" w:rsidRPr="00077AC5" w:rsidRDefault="002010E5" w:rsidP="005C568C">
      <w:pPr>
        <w:pStyle w:val="Heading5"/>
        <w:numPr>
          <w:ilvl w:val="0"/>
          <w:numId w:val="53"/>
        </w:numPr>
      </w:pPr>
      <w:r>
        <w:t>Chapter 169</w:t>
      </w:r>
    </w:p>
    <w:p w14:paraId="5D694B16" w14:textId="77777777" w:rsidR="002010E5" w:rsidRDefault="002010E5" w:rsidP="002010E5">
      <w:pPr>
        <w:tabs>
          <w:tab w:val="left" w:pos="720"/>
          <w:tab w:val="left" w:pos="1080"/>
        </w:tabs>
        <w:ind w:left="1800" w:hanging="720"/>
        <w:jc w:val="both"/>
        <w:rPr>
          <w:sz w:val="24"/>
          <w:szCs w:val="24"/>
        </w:rPr>
      </w:pPr>
    </w:p>
    <w:p w14:paraId="650F6687" w14:textId="06649ECE" w:rsidR="002E34B6" w:rsidRDefault="002E34B6" w:rsidP="002E34B6">
      <w:pPr>
        <w:ind w:left="1080"/>
        <w:jc w:val="both"/>
        <w:rPr>
          <w:sz w:val="24"/>
          <w:szCs w:val="24"/>
        </w:rPr>
      </w:pPr>
      <w:r w:rsidRPr="00844919">
        <w:rPr>
          <w:i/>
          <w:iCs/>
          <w:sz w:val="24"/>
          <w:szCs w:val="24"/>
        </w:rPr>
        <w:t>Stationary Generators</w:t>
      </w:r>
      <w:r w:rsidRPr="00844919">
        <w:rPr>
          <w:sz w:val="24"/>
          <w:szCs w:val="24"/>
        </w:rPr>
        <w:t>, 06-096 C.M.R. ch. 169</w:t>
      </w:r>
      <w:r>
        <w:rPr>
          <w:sz w:val="24"/>
          <w:szCs w:val="24"/>
        </w:rPr>
        <w:t xml:space="preserve"> (Chapter 169)</w:t>
      </w:r>
      <w:r w:rsidRPr="00844919">
        <w:rPr>
          <w:sz w:val="24"/>
          <w:szCs w:val="24"/>
        </w:rPr>
        <w:t xml:space="preserve">, is applicable to </w:t>
      </w:r>
      <w:r w:rsidRPr="00A30AD0">
        <w:rPr>
          <w:sz w:val="24"/>
          <w:szCs w:val="24"/>
        </w:rPr>
        <w:t>Generator</w:t>
      </w:r>
      <w:r w:rsidR="00A30AD0" w:rsidRPr="00A30AD0">
        <w:rPr>
          <w:sz w:val="24"/>
          <w:szCs w:val="24"/>
        </w:rPr>
        <w:t>s</w:t>
      </w:r>
      <w:r w:rsidRPr="00A30AD0">
        <w:rPr>
          <w:sz w:val="24"/>
          <w:szCs w:val="24"/>
        </w:rPr>
        <w:t xml:space="preserve"> #1</w:t>
      </w:r>
      <w:r w:rsidR="00A30AD0" w:rsidRPr="00A30AD0">
        <w:rPr>
          <w:sz w:val="24"/>
          <w:szCs w:val="24"/>
        </w:rPr>
        <w:t xml:space="preserve"> and #2</w:t>
      </w:r>
      <w:r w:rsidRPr="00844919">
        <w:rPr>
          <w:sz w:val="24"/>
          <w:szCs w:val="24"/>
        </w:rPr>
        <w:t xml:space="preserve">. </w:t>
      </w:r>
      <w:r w:rsidR="00A30AD0">
        <w:rPr>
          <w:sz w:val="24"/>
          <w:szCs w:val="24"/>
        </w:rPr>
        <w:t>G</w:t>
      </w:r>
      <w:r>
        <w:rPr>
          <w:sz w:val="24"/>
          <w:szCs w:val="24"/>
        </w:rPr>
        <w:t>enerator</w:t>
      </w:r>
      <w:r w:rsidR="00A30AD0">
        <w:rPr>
          <w:sz w:val="24"/>
          <w:szCs w:val="24"/>
        </w:rPr>
        <w:t xml:space="preserve"> #2 is</w:t>
      </w:r>
      <w:r>
        <w:rPr>
          <w:sz w:val="24"/>
          <w:szCs w:val="24"/>
        </w:rPr>
        <w:t xml:space="preserve"> powered by an engine with a rated output of less than</w:t>
      </w:r>
      <w:r w:rsidR="008276A1">
        <w:rPr>
          <w:sz w:val="24"/>
          <w:szCs w:val="24"/>
        </w:rPr>
        <w:t xml:space="preserve"> </w:t>
      </w:r>
      <w:r>
        <w:rPr>
          <w:sz w:val="24"/>
          <w:szCs w:val="24"/>
        </w:rPr>
        <w:t>1,000 brake horsepower (747 kW).</w:t>
      </w:r>
      <w:r w:rsidR="00A30AD0">
        <w:rPr>
          <w:sz w:val="24"/>
          <w:szCs w:val="24"/>
        </w:rPr>
        <w:t xml:space="preserve"> Generator #1 is powered by an engine with a rated output of </w:t>
      </w:r>
      <w:r w:rsidR="008276A1">
        <w:rPr>
          <w:sz w:val="24"/>
          <w:szCs w:val="24"/>
        </w:rPr>
        <w:t>greater</w:t>
      </w:r>
      <w:r w:rsidR="00A30AD0">
        <w:rPr>
          <w:sz w:val="24"/>
          <w:szCs w:val="24"/>
        </w:rPr>
        <w:t xml:space="preserve"> than</w:t>
      </w:r>
      <w:r w:rsidR="008276A1">
        <w:rPr>
          <w:sz w:val="24"/>
          <w:szCs w:val="24"/>
        </w:rPr>
        <w:t xml:space="preserve"> </w:t>
      </w:r>
      <w:r w:rsidR="00A30AD0">
        <w:rPr>
          <w:sz w:val="24"/>
          <w:szCs w:val="24"/>
        </w:rPr>
        <w:t>1,000 brake horsepower (747 kW).</w:t>
      </w:r>
      <w:r w:rsidRPr="006B2F65">
        <w:rPr>
          <w:sz w:val="24"/>
          <w:szCs w:val="24"/>
        </w:rPr>
        <w:t xml:space="preserve"> </w:t>
      </w:r>
      <w:r>
        <w:rPr>
          <w:sz w:val="24"/>
          <w:szCs w:val="24"/>
        </w:rPr>
        <w:t xml:space="preserve">Chapter 169 identifies emission standards for generator engines subject to this chapter and stack height requirements for certain generator engines subject to this chapter. </w:t>
      </w:r>
    </w:p>
    <w:p w14:paraId="353BD3FA" w14:textId="0E5FE6D6" w:rsidR="006B2F65" w:rsidRPr="006B2F65" w:rsidRDefault="006B2F65" w:rsidP="00A36952">
      <w:pPr>
        <w:pStyle w:val="ListParagraph"/>
        <w:numPr>
          <w:ilvl w:val="0"/>
          <w:numId w:val="107"/>
        </w:numPr>
        <w:jc w:val="both"/>
        <w:rPr>
          <w:sz w:val="24"/>
          <w:szCs w:val="24"/>
        </w:rPr>
      </w:pPr>
      <w:r>
        <w:rPr>
          <w:sz w:val="24"/>
          <w:szCs w:val="24"/>
        </w:rPr>
        <w:lastRenderedPageBreak/>
        <w:t>Chapter 169 Emission Standards Requirements</w:t>
      </w:r>
    </w:p>
    <w:p w14:paraId="533FDCD6" w14:textId="77777777" w:rsidR="006B2F65" w:rsidRDefault="006B2F65" w:rsidP="00844919">
      <w:pPr>
        <w:ind w:left="1080"/>
        <w:jc w:val="both"/>
        <w:rPr>
          <w:sz w:val="24"/>
          <w:szCs w:val="24"/>
        </w:rPr>
      </w:pPr>
    </w:p>
    <w:p w14:paraId="4A84B0B5" w14:textId="1C8DE7B2" w:rsidR="00ED213D" w:rsidRDefault="00015C20" w:rsidP="006B2F65">
      <w:pPr>
        <w:ind w:left="1440"/>
        <w:jc w:val="both"/>
        <w:rPr>
          <w:sz w:val="24"/>
          <w:szCs w:val="24"/>
        </w:rPr>
      </w:pPr>
      <w:r w:rsidRPr="008276A1">
        <w:rPr>
          <w:sz w:val="24"/>
          <w:szCs w:val="24"/>
        </w:rPr>
        <w:t>For Generator #</w:t>
      </w:r>
      <w:r w:rsidR="008276A1" w:rsidRPr="008276A1">
        <w:rPr>
          <w:sz w:val="24"/>
          <w:szCs w:val="24"/>
        </w:rPr>
        <w:t>2</w:t>
      </w:r>
      <w:r w:rsidRPr="008276A1">
        <w:rPr>
          <w:sz w:val="24"/>
          <w:szCs w:val="24"/>
        </w:rPr>
        <w:t xml:space="preserve">, </w:t>
      </w:r>
      <w:r w:rsidR="008276A1" w:rsidRPr="008276A1">
        <w:rPr>
          <w:sz w:val="24"/>
          <w:szCs w:val="24"/>
        </w:rPr>
        <w:t>N</w:t>
      </w:r>
      <w:r w:rsidR="00BA1B44">
        <w:rPr>
          <w:sz w:val="24"/>
          <w:szCs w:val="24"/>
        </w:rPr>
        <w:t>ortheastern</w:t>
      </w:r>
      <w:r>
        <w:rPr>
          <w:sz w:val="24"/>
          <w:szCs w:val="24"/>
        </w:rPr>
        <w:t xml:space="preserve"> </w:t>
      </w:r>
      <w:r w:rsidR="00ED213D">
        <w:rPr>
          <w:sz w:val="24"/>
          <w:szCs w:val="24"/>
        </w:rPr>
        <w:t xml:space="preserve">shall comply with the emission standards for emergency generators by complying with the </w:t>
      </w:r>
      <w:r w:rsidR="00EB3D7E">
        <w:rPr>
          <w:sz w:val="24"/>
          <w:szCs w:val="24"/>
        </w:rPr>
        <w:t>applicable standards contained in 40</w:t>
      </w:r>
      <w:r w:rsidR="00BA1B44">
        <w:rPr>
          <w:sz w:val="24"/>
          <w:szCs w:val="24"/>
        </w:rPr>
        <w:t> </w:t>
      </w:r>
      <w:r w:rsidR="00EB3D7E">
        <w:rPr>
          <w:sz w:val="24"/>
          <w:szCs w:val="24"/>
        </w:rPr>
        <w:t>C.F.R. Part</w:t>
      </w:r>
      <w:r w:rsidR="00BA1B44">
        <w:rPr>
          <w:sz w:val="24"/>
          <w:szCs w:val="24"/>
        </w:rPr>
        <w:t> </w:t>
      </w:r>
      <w:r w:rsidR="00EB3D7E">
        <w:rPr>
          <w:sz w:val="24"/>
          <w:szCs w:val="24"/>
        </w:rPr>
        <w:t>60, Subpart IIII. [06-096 C.M.R. ch. 169, § 4(B)(1)]</w:t>
      </w:r>
    </w:p>
    <w:p w14:paraId="5F7BF14F" w14:textId="77777777" w:rsidR="00EB3D7E" w:rsidRDefault="00EB3D7E" w:rsidP="006B2F65">
      <w:pPr>
        <w:ind w:left="1440"/>
        <w:jc w:val="both"/>
        <w:rPr>
          <w:sz w:val="24"/>
          <w:szCs w:val="24"/>
        </w:rPr>
      </w:pPr>
    </w:p>
    <w:p w14:paraId="6850C7F4" w14:textId="78BD7068" w:rsidR="00680B0A" w:rsidRDefault="00015C20" w:rsidP="006B2F65">
      <w:pPr>
        <w:ind w:left="1440"/>
        <w:jc w:val="both"/>
        <w:rPr>
          <w:sz w:val="24"/>
          <w:szCs w:val="24"/>
        </w:rPr>
      </w:pPr>
      <w:bookmarkStart w:id="4" w:name="_Hlk220407165"/>
      <w:r w:rsidRPr="00CF1BFC">
        <w:rPr>
          <w:sz w:val="24"/>
          <w:szCs w:val="24"/>
        </w:rPr>
        <w:t xml:space="preserve">For Generator #1, </w:t>
      </w:r>
      <w:r w:rsidR="00CF1BFC" w:rsidRPr="00CF1BFC">
        <w:rPr>
          <w:sz w:val="24"/>
          <w:szCs w:val="24"/>
        </w:rPr>
        <w:t>N</w:t>
      </w:r>
      <w:r w:rsidR="00BA1B44">
        <w:rPr>
          <w:sz w:val="24"/>
          <w:szCs w:val="24"/>
        </w:rPr>
        <w:t>ortheastern</w:t>
      </w:r>
      <w:r w:rsidR="00844919" w:rsidRPr="00844919">
        <w:rPr>
          <w:sz w:val="24"/>
          <w:szCs w:val="24"/>
        </w:rPr>
        <w:t xml:space="preserve"> has elected to comply with the emission standards for emergency generators by accepting a limit on total generator usage (emergency and non-emergency combined) of 500 hours/year (12-month rolling total basis).</w:t>
      </w:r>
      <w:r w:rsidR="00680B0A">
        <w:rPr>
          <w:sz w:val="24"/>
          <w:szCs w:val="24"/>
        </w:rPr>
        <w:t xml:space="preserve"> </w:t>
      </w:r>
      <w:r w:rsidR="001B1496">
        <w:rPr>
          <w:sz w:val="24"/>
          <w:szCs w:val="24"/>
        </w:rPr>
        <w:t>Compliance shall be demonstrated through recordkeeping of all generator operating times</w:t>
      </w:r>
      <w:r w:rsidR="00680B0A">
        <w:rPr>
          <w:sz w:val="24"/>
          <w:szCs w:val="24"/>
        </w:rPr>
        <w:t>.</w:t>
      </w:r>
      <w:r w:rsidR="00844919" w:rsidRPr="00680B0A">
        <w:rPr>
          <w:sz w:val="24"/>
          <w:szCs w:val="24"/>
        </w:rPr>
        <w:t xml:space="preserve"> </w:t>
      </w:r>
    </w:p>
    <w:p w14:paraId="7E13D073" w14:textId="77777777" w:rsidR="00680B0A" w:rsidRDefault="00680B0A" w:rsidP="006B2F65">
      <w:pPr>
        <w:ind w:left="1440"/>
        <w:jc w:val="both"/>
        <w:rPr>
          <w:sz w:val="24"/>
          <w:szCs w:val="24"/>
        </w:rPr>
      </w:pPr>
    </w:p>
    <w:p w14:paraId="5930D2CC" w14:textId="48F11AB0" w:rsidR="002010E5" w:rsidRDefault="00844919" w:rsidP="006B2F65">
      <w:pPr>
        <w:ind w:left="1440"/>
        <w:jc w:val="both"/>
        <w:rPr>
          <w:sz w:val="24"/>
          <w:szCs w:val="24"/>
        </w:rPr>
      </w:pPr>
      <w:r w:rsidRPr="00844919">
        <w:rPr>
          <w:sz w:val="24"/>
          <w:szCs w:val="24"/>
        </w:rPr>
        <w:t xml:space="preserve">If there are periods of extended outage such as a natural disaster or other similar </w:t>
      </w:r>
      <w:proofErr w:type="gramStart"/>
      <w:r w:rsidRPr="00844919">
        <w:rPr>
          <w:sz w:val="24"/>
          <w:szCs w:val="24"/>
        </w:rPr>
        <w:t>event</w:t>
      </w:r>
      <w:proofErr w:type="gramEnd"/>
      <w:r w:rsidRPr="00844919">
        <w:rPr>
          <w:sz w:val="24"/>
          <w:szCs w:val="24"/>
        </w:rPr>
        <w:t xml:space="preserve"> outside </w:t>
      </w:r>
      <w:proofErr w:type="spellStart"/>
      <w:r w:rsidR="00CF1BFC">
        <w:rPr>
          <w:sz w:val="24"/>
          <w:szCs w:val="24"/>
        </w:rPr>
        <w:t>N</w:t>
      </w:r>
      <w:r w:rsidR="00BA1B44">
        <w:rPr>
          <w:sz w:val="24"/>
          <w:szCs w:val="24"/>
        </w:rPr>
        <w:t>ortheastern</w:t>
      </w:r>
      <w:r w:rsidR="00CF1BFC">
        <w:rPr>
          <w:sz w:val="24"/>
          <w:szCs w:val="24"/>
        </w:rPr>
        <w:t>’s</w:t>
      </w:r>
      <w:proofErr w:type="spellEnd"/>
      <w:r w:rsidRPr="00844919">
        <w:rPr>
          <w:sz w:val="24"/>
          <w:szCs w:val="24"/>
        </w:rPr>
        <w:t xml:space="preserve"> </w:t>
      </w:r>
      <w:r>
        <w:rPr>
          <w:sz w:val="24"/>
          <w:szCs w:val="24"/>
        </w:rPr>
        <w:t xml:space="preserve">control, </w:t>
      </w:r>
      <w:r w:rsidR="00CF1BFC">
        <w:rPr>
          <w:sz w:val="24"/>
          <w:szCs w:val="24"/>
        </w:rPr>
        <w:t>N</w:t>
      </w:r>
      <w:r w:rsidR="00BA1B44">
        <w:rPr>
          <w:sz w:val="24"/>
          <w:szCs w:val="24"/>
        </w:rPr>
        <w:t>ortheastern</w:t>
      </w:r>
      <w:r w:rsidRPr="00844919">
        <w:rPr>
          <w:sz w:val="24"/>
          <w:szCs w:val="24"/>
        </w:rPr>
        <w:t xml:space="preserve"> may apply to the Department for a temporary variance to exempt specific time periods from this annual hour limit. The</w:t>
      </w:r>
      <w:r>
        <w:rPr>
          <w:sz w:val="24"/>
          <w:szCs w:val="24"/>
        </w:rPr>
        <w:t xml:space="preserve"> Department</w:t>
      </w:r>
      <w:r w:rsidRPr="00844919">
        <w:rPr>
          <w:sz w:val="24"/>
          <w:szCs w:val="24"/>
        </w:rPr>
        <w:t xml:space="preserve"> Commissioner may, without hearing, issue that variance for </w:t>
      </w:r>
      <w:proofErr w:type="gramStart"/>
      <w:r w:rsidRPr="00844919">
        <w:rPr>
          <w:sz w:val="24"/>
          <w:szCs w:val="24"/>
        </w:rPr>
        <w:t>a period of time</w:t>
      </w:r>
      <w:proofErr w:type="gramEnd"/>
      <w:r w:rsidRPr="00844919">
        <w:rPr>
          <w:sz w:val="24"/>
          <w:szCs w:val="24"/>
        </w:rPr>
        <w:t xml:space="preserve"> not to exceed 30 days if, in his/her judgement, the variance is necessary to avoid immediate threat to public health, safety, or general welfare or to protect critical infrastructure</w:t>
      </w:r>
      <w:r>
        <w:rPr>
          <w:sz w:val="24"/>
          <w:szCs w:val="24"/>
        </w:rPr>
        <w:t>.</w:t>
      </w:r>
      <w:bookmarkEnd w:id="4"/>
    </w:p>
    <w:p w14:paraId="4113C23D" w14:textId="77777777" w:rsidR="006B2F65" w:rsidRDefault="006B2F65" w:rsidP="006B2F65">
      <w:pPr>
        <w:ind w:left="1080"/>
        <w:jc w:val="both"/>
        <w:rPr>
          <w:sz w:val="24"/>
          <w:szCs w:val="24"/>
        </w:rPr>
      </w:pPr>
    </w:p>
    <w:p w14:paraId="2E0F67BE" w14:textId="77777777" w:rsidR="006B2F65" w:rsidRPr="006B2F65" w:rsidRDefault="006B2F65" w:rsidP="00A36952">
      <w:pPr>
        <w:pStyle w:val="ListParagraph"/>
        <w:numPr>
          <w:ilvl w:val="0"/>
          <w:numId w:val="107"/>
        </w:numPr>
        <w:jc w:val="both"/>
        <w:rPr>
          <w:sz w:val="24"/>
          <w:szCs w:val="24"/>
        </w:rPr>
      </w:pPr>
      <w:r>
        <w:rPr>
          <w:sz w:val="24"/>
          <w:szCs w:val="24"/>
        </w:rPr>
        <w:t>Chapter 169 Stack Height Requirements</w:t>
      </w:r>
    </w:p>
    <w:p w14:paraId="200BA5BD" w14:textId="77777777" w:rsidR="006B2F65" w:rsidRDefault="006B2F65" w:rsidP="006B2F65">
      <w:pPr>
        <w:ind w:left="1080"/>
        <w:jc w:val="both"/>
        <w:rPr>
          <w:sz w:val="24"/>
          <w:szCs w:val="24"/>
        </w:rPr>
      </w:pPr>
    </w:p>
    <w:p w14:paraId="79E20299" w14:textId="77777777" w:rsidR="006B2F65" w:rsidRDefault="006B2F65" w:rsidP="006B2F65">
      <w:pPr>
        <w:ind w:left="1440"/>
        <w:jc w:val="both"/>
        <w:rPr>
          <w:sz w:val="24"/>
          <w:szCs w:val="24"/>
        </w:rPr>
      </w:pPr>
      <w:r>
        <w:rPr>
          <w:sz w:val="24"/>
          <w:szCs w:val="24"/>
        </w:rPr>
        <w:t>Ch</w:t>
      </w:r>
      <w:r w:rsidR="00B41DA2">
        <w:rPr>
          <w:sz w:val="24"/>
          <w:szCs w:val="24"/>
        </w:rPr>
        <w:t>apter</w:t>
      </w:r>
      <w:r>
        <w:rPr>
          <w:sz w:val="24"/>
          <w:szCs w:val="24"/>
        </w:rPr>
        <w:t xml:space="preserve">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w:t>
      </w:r>
      <w:r w:rsidRPr="006003B6">
        <w:rPr>
          <w:sz w:val="24"/>
          <w:szCs w:val="24"/>
        </w:rPr>
        <w:t>[06-096 C.M.R. ch.</w:t>
      </w:r>
      <w:r>
        <w:rPr>
          <w:sz w:val="24"/>
          <w:szCs w:val="24"/>
        </w:rPr>
        <w:t> </w:t>
      </w:r>
      <w:r w:rsidRPr="006003B6">
        <w:rPr>
          <w:sz w:val="24"/>
          <w:szCs w:val="24"/>
        </w:rPr>
        <w:t xml:space="preserve">169, § </w:t>
      </w:r>
      <w:r>
        <w:rPr>
          <w:sz w:val="24"/>
          <w:szCs w:val="24"/>
        </w:rPr>
        <w:t>6</w:t>
      </w:r>
      <w:r w:rsidRPr="006003B6">
        <w:rPr>
          <w:sz w:val="24"/>
          <w:szCs w:val="24"/>
        </w:rPr>
        <w:t>]</w:t>
      </w:r>
    </w:p>
    <w:p w14:paraId="6E8A9799" w14:textId="77777777" w:rsidR="00AF2AF1" w:rsidRDefault="00AF2AF1" w:rsidP="006B2F65">
      <w:pPr>
        <w:ind w:left="1440"/>
        <w:jc w:val="both"/>
        <w:rPr>
          <w:sz w:val="24"/>
          <w:szCs w:val="24"/>
        </w:rPr>
      </w:pPr>
    </w:p>
    <w:p w14:paraId="0F223642" w14:textId="45D0BB37" w:rsidR="00AF2AF1" w:rsidRDefault="00AF2AF1" w:rsidP="00762069">
      <w:pPr>
        <w:ind w:left="1440"/>
        <w:jc w:val="both"/>
        <w:rPr>
          <w:sz w:val="24"/>
          <w:szCs w:val="24"/>
        </w:rPr>
      </w:pPr>
      <w:r w:rsidRPr="00E449B2">
        <w:rPr>
          <w:sz w:val="24"/>
          <w:szCs w:val="24"/>
        </w:rPr>
        <w:t xml:space="preserve">There are no stack height requirements in Chapter 169 applicable to </w:t>
      </w:r>
      <w:r w:rsidRPr="008276A1">
        <w:rPr>
          <w:sz w:val="24"/>
          <w:szCs w:val="24"/>
        </w:rPr>
        <w:t>Generator #</w:t>
      </w:r>
      <w:r w:rsidR="008276A1" w:rsidRPr="008276A1">
        <w:rPr>
          <w:sz w:val="24"/>
          <w:szCs w:val="24"/>
        </w:rPr>
        <w:t>2</w:t>
      </w:r>
      <w:r w:rsidRPr="00876EBD">
        <w:rPr>
          <w:b/>
          <w:bCs/>
          <w:i/>
          <w:iCs/>
          <w:sz w:val="24"/>
          <w:szCs w:val="24"/>
        </w:rPr>
        <w:t xml:space="preserve"> </w:t>
      </w:r>
      <w:r w:rsidRPr="00E449B2">
        <w:rPr>
          <w:sz w:val="24"/>
          <w:szCs w:val="24"/>
        </w:rPr>
        <w:t xml:space="preserve">because it exhausts through its own stack and its rated output is less than </w:t>
      </w:r>
      <w:r w:rsidRPr="00E76462">
        <w:rPr>
          <w:sz w:val="24"/>
          <w:szCs w:val="24"/>
        </w:rPr>
        <w:t>1,000</w:t>
      </w:r>
      <w:r>
        <w:rPr>
          <w:sz w:val="24"/>
          <w:szCs w:val="24"/>
        </w:rPr>
        <w:t> </w:t>
      </w:r>
      <w:r w:rsidRPr="00E76462">
        <w:rPr>
          <w:sz w:val="24"/>
          <w:szCs w:val="24"/>
        </w:rPr>
        <w:t>brake horsepower (747 kilowatts)</w:t>
      </w:r>
      <w:r w:rsidRPr="00E449B2">
        <w:rPr>
          <w:sz w:val="24"/>
          <w:szCs w:val="24"/>
        </w:rPr>
        <w:t>. [06-096 C.M.R. ch. 169, § 6]</w:t>
      </w:r>
    </w:p>
    <w:p w14:paraId="2E88287E" w14:textId="77777777" w:rsidR="00EB3D7E" w:rsidRDefault="00EB3D7E" w:rsidP="006B2F65">
      <w:pPr>
        <w:ind w:left="1440"/>
        <w:jc w:val="both"/>
        <w:rPr>
          <w:sz w:val="24"/>
          <w:szCs w:val="24"/>
        </w:rPr>
      </w:pPr>
    </w:p>
    <w:p w14:paraId="54736ABB" w14:textId="0056D595" w:rsidR="00EB3D7E" w:rsidRDefault="00ED7FBF" w:rsidP="006B2F65">
      <w:pPr>
        <w:ind w:left="1440"/>
        <w:jc w:val="both"/>
        <w:rPr>
          <w:sz w:val="24"/>
          <w:szCs w:val="24"/>
        </w:rPr>
      </w:pPr>
      <w:r w:rsidRPr="00CF1BFC">
        <w:rPr>
          <w:sz w:val="24"/>
          <w:szCs w:val="24"/>
        </w:rPr>
        <w:t>N</w:t>
      </w:r>
      <w:r w:rsidR="00BA1B44">
        <w:rPr>
          <w:sz w:val="24"/>
          <w:szCs w:val="24"/>
        </w:rPr>
        <w:t>ortheastern</w:t>
      </w:r>
      <w:r w:rsidR="00EB3D7E" w:rsidRPr="00CF1BFC">
        <w:rPr>
          <w:sz w:val="24"/>
          <w:szCs w:val="24"/>
        </w:rPr>
        <w:t xml:space="preserve"> submitted a qualitative ambient impact screening analysis (QAISA)</w:t>
      </w:r>
      <w:r w:rsidR="00BA1B44">
        <w:rPr>
          <w:sz w:val="24"/>
          <w:szCs w:val="24"/>
        </w:rPr>
        <w:t xml:space="preserve">, in accordance with Section 6.B. of Ch. 169, </w:t>
      </w:r>
      <w:r w:rsidR="00EB3D7E" w:rsidRPr="00CF1BFC">
        <w:rPr>
          <w:sz w:val="24"/>
          <w:szCs w:val="24"/>
        </w:rPr>
        <w:t>for Generator #1</w:t>
      </w:r>
      <w:r w:rsidR="00015C20" w:rsidRPr="00CF1BFC">
        <w:rPr>
          <w:sz w:val="24"/>
          <w:szCs w:val="24"/>
        </w:rPr>
        <w:t>. The QAISA considered many factors including engine size, emission rates,</w:t>
      </w:r>
      <w:r w:rsidR="00F530CC" w:rsidRPr="00CF1BFC">
        <w:rPr>
          <w:sz w:val="24"/>
          <w:szCs w:val="24"/>
        </w:rPr>
        <w:t xml:space="preserve"> operational limits,</w:t>
      </w:r>
      <w:r w:rsidR="00015C20" w:rsidRPr="00CF1BFC">
        <w:rPr>
          <w:sz w:val="24"/>
          <w:szCs w:val="24"/>
        </w:rPr>
        <w:t xml:space="preserve"> stack height, height of surrounding structures, distance to </w:t>
      </w:r>
      <w:r w:rsidR="00F530CC" w:rsidRPr="00CF1BFC">
        <w:rPr>
          <w:sz w:val="24"/>
          <w:szCs w:val="24"/>
        </w:rPr>
        <w:t xml:space="preserve">ambient air, terrain </w:t>
      </w:r>
      <w:r w:rsidR="00F530CC" w:rsidRPr="00E5534A">
        <w:rPr>
          <w:sz w:val="24"/>
          <w:szCs w:val="24"/>
        </w:rPr>
        <w:t>features, and proximity to sensitive receptors. Based on the analysis submitted, the Department finds that</w:t>
      </w:r>
      <w:r w:rsidR="00E5534A" w:rsidRPr="00E5534A">
        <w:rPr>
          <w:sz w:val="24"/>
          <w:szCs w:val="24"/>
        </w:rPr>
        <w:t xml:space="preserve"> with</w:t>
      </w:r>
      <w:r w:rsidR="00F530CC" w:rsidRPr="00E5534A">
        <w:rPr>
          <w:sz w:val="24"/>
          <w:szCs w:val="24"/>
        </w:rPr>
        <w:t xml:space="preserve"> </w:t>
      </w:r>
      <w:r w:rsidR="00EB3D7E" w:rsidRPr="00E5534A">
        <w:rPr>
          <w:sz w:val="24"/>
          <w:szCs w:val="24"/>
        </w:rPr>
        <w:t>the proposed minimum stack height</w:t>
      </w:r>
      <w:r w:rsidR="00015C20" w:rsidRPr="00E5534A">
        <w:rPr>
          <w:sz w:val="24"/>
          <w:szCs w:val="24"/>
        </w:rPr>
        <w:t xml:space="preserve"> of </w:t>
      </w:r>
      <w:r w:rsidRPr="00E5534A">
        <w:rPr>
          <w:sz w:val="24"/>
          <w:szCs w:val="24"/>
        </w:rPr>
        <w:t>153</w:t>
      </w:r>
      <w:r w:rsidR="00015C20" w:rsidRPr="00E5534A">
        <w:rPr>
          <w:sz w:val="24"/>
          <w:szCs w:val="24"/>
        </w:rPr>
        <w:t xml:space="preserve"> feet above ground level</w:t>
      </w:r>
      <w:r w:rsidR="00BA1B44" w:rsidRPr="00E5534A">
        <w:rPr>
          <w:sz w:val="24"/>
          <w:szCs w:val="24"/>
        </w:rPr>
        <w:t>, due to Generator #1 being located on top of a roof 14</w:t>
      </w:r>
      <w:r w:rsidR="005813FB" w:rsidRPr="00E5534A">
        <w:rPr>
          <w:sz w:val="24"/>
          <w:szCs w:val="24"/>
        </w:rPr>
        <w:t>3</w:t>
      </w:r>
      <w:r w:rsidR="00BA1B44" w:rsidRPr="00E5534A">
        <w:rPr>
          <w:sz w:val="24"/>
          <w:szCs w:val="24"/>
        </w:rPr>
        <w:t xml:space="preserve"> feet above ground level,</w:t>
      </w:r>
      <w:r w:rsidR="00015C20" w:rsidRPr="00E5534A">
        <w:rPr>
          <w:sz w:val="24"/>
          <w:szCs w:val="24"/>
        </w:rPr>
        <w:t xml:space="preserve"> </w:t>
      </w:r>
      <w:r w:rsidR="00E5534A" w:rsidRPr="00E5534A">
        <w:rPr>
          <w:sz w:val="24"/>
          <w:szCs w:val="24"/>
        </w:rPr>
        <w:t xml:space="preserve">Generator #1 </w:t>
      </w:r>
      <w:r w:rsidR="00015C20" w:rsidRPr="00E5534A">
        <w:rPr>
          <w:sz w:val="24"/>
          <w:szCs w:val="24"/>
        </w:rPr>
        <w:t xml:space="preserve">will not cause or contribute to violations of ambient air quality standards. </w:t>
      </w:r>
      <w:bookmarkStart w:id="5" w:name="_Hlk220406778"/>
      <w:r w:rsidR="00420EF8" w:rsidRPr="00E5534A">
        <w:rPr>
          <w:sz w:val="24"/>
          <w:szCs w:val="24"/>
        </w:rPr>
        <w:t>[06-096 C.M.R.</w:t>
      </w:r>
      <w:r w:rsidR="00420EF8" w:rsidRPr="00CF1BFC">
        <w:rPr>
          <w:sz w:val="24"/>
          <w:szCs w:val="24"/>
        </w:rPr>
        <w:t xml:space="preserve"> ch. 169, § 6(B)]</w:t>
      </w:r>
      <w:bookmarkEnd w:id="5"/>
    </w:p>
    <w:p w14:paraId="4F14AEAE" w14:textId="77777777" w:rsidR="002010E5" w:rsidRDefault="002010E5" w:rsidP="006846E7">
      <w:pPr>
        <w:tabs>
          <w:tab w:val="left" w:pos="720"/>
          <w:tab w:val="left" w:pos="1080"/>
        </w:tabs>
        <w:ind w:left="720" w:hanging="720"/>
        <w:jc w:val="both"/>
        <w:rPr>
          <w:sz w:val="24"/>
          <w:szCs w:val="24"/>
        </w:rPr>
      </w:pPr>
    </w:p>
    <w:p w14:paraId="64EBF2FA" w14:textId="77777777" w:rsidR="00BA1B44" w:rsidRDefault="00BA1B44">
      <w:pPr>
        <w:rPr>
          <w:sz w:val="24"/>
        </w:rPr>
      </w:pPr>
      <w:r>
        <w:br w:type="page"/>
      </w:r>
    </w:p>
    <w:p w14:paraId="5EE402B5" w14:textId="33051463" w:rsidR="009C3354" w:rsidRDefault="002010E5" w:rsidP="00495B96">
      <w:pPr>
        <w:pStyle w:val="Heading5"/>
      </w:pPr>
      <w:r>
        <w:lastRenderedPageBreak/>
        <w:t>New Source Performance Standards</w:t>
      </w:r>
      <w:r w:rsidR="006846E7" w:rsidRPr="00077AC5">
        <w:t xml:space="preserve"> </w:t>
      </w:r>
    </w:p>
    <w:p w14:paraId="3A15502F" w14:textId="77777777" w:rsidR="00495B96" w:rsidRPr="00495B96" w:rsidRDefault="00495B96" w:rsidP="00495B96"/>
    <w:p w14:paraId="6C48B9A9" w14:textId="7237BAAF" w:rsidR="006B2F65" w:rsidRDefault="006B2F65" w:rsidP="006B2F65">
      <w:pPr>
        <w:pStyle w:val="BodyTextIndent"/>
        <w:tabs>
          <w:tab w:val="left" w:pos="1080"/>
        </w:tabs>
        <w:ind w:left="1080"/>
        <w:jc w:val="both"/>
      </w:pPr>
      <w:r>
        <w:rPr>
          <w:i/>
        </w:rPr>
        <w:t>Standards of Performance for Stationary Compression Ignition Internal Combustion Engines,</w:t>
      </w:r>
      <w:r>
        <w:t xml:space="preserve"> 40 C.F.R. Part 60, Subpart IIII is applicable to </w:t>
      </w:r>
      <w:r w:rsidR="00495B96">
        <w:t>Generators #1 and #2</w:t>
      </w:r>
      <w:r>
        <w:t xml:space="preserve"> since the unit</w:t>
      </w:r>
      <w:r w:rsidR="00495B96" w:rsidRPr="00495B96">
        <w:rPr>
          <w:bCs/>
          <w:iCs/>
        </w:rPr>
        <w:t>s were</w:t>
      </w:r>
      <w:r w:rsidRPr="00495B96">
        <w:rPr>
          <w:bCs/>
          <w:iCs/>
        </w:rPr>
        <w:t xml:space="preserve"> </w:t>
      </w:r>
      <w:r>
        <w:t>ordered after July 11, 2005, and manufactured after April</w:t>
      </w:r>
      <w:r w:rsidR="002E34B6">
        <w:t> </w:t>
      </w:r>
      <w:r>
        <w:t>1,</w:t>
      </w:r>
      <w:r w:rsidR="002E34B6">
        <w:t> </w:t>
      </w:r>
      <w:r>
        <w:t>2006. [40</w:t>
      </w:r>
      <w:r w:rsidR="00495B96">
        <w:t> </w:t>
      </w:r>
      <w:r>
        <w:t xml:space="preserve">C.F.R. § 60.4200] </w:t>
      </w:r>
    </w:p>
    <w:p w14:paraId="3D07756A" w14:textId="77777777" w:rsidR="00365929" w:rsidRDefault="00365929" w:rsidP="009B5C95">
      <w:pPr>
        <w:pStyle w:val="BodyTextIndent"/>
        <w:tabs>
          <w:tab w:val="left" w:pos="1080"/>
        </w:tabs>
        <w:ind w:left="1080"/>
        <w:jc w:val="both"/>
      </w:pPr>
    </w:p>
    <w:p w14:paraId="6230486F" w14:textId="77777777" w:rsidR="00365929" w:rsidRPr="009B5C95" w:rsidRDefault="00365929" w:rsidP="009B5C95">
      <w:pPr>
        <w:pStyle w:val="BodyTextIndent"/>
        <w:tabs>
          <w:tab w:val="left" w:pos="1080"/>
        </w:tabs>
        <w:ind w:left="1080"/>
        <w:jc w:val="both"/>
      </w:pPr>
      <w:r>
        <w:t xml:space="preserve">A summary of the currently applicable federal 40 C.F.R. Part 60, Subpart IIII requirements </w:t>
      </w:r>
      <w:proofErr w:type="gramStart"/>
      <w:r>
        <w:t>is</w:t>
      </w:r>
      <w:proofErr w:type="gramEnd"/>
      <w:r>
        <w:t xml:space="preserve"> listed below.</w:t>
      </w:r>
    </w:p>
    <w:p w14:paraId="7157BDDC" w14:textId="77777777" w:rsidR="006846E7" w:rsidRDefault="006846E7" w:rsidP="00727AA3">
      <w:pPr>
        <w:pStyle w:val="BodyTextIndent"/>
        <w:tabs>
          <w:tab w:val="left" w:pos="1080"/>
          <w:tab w:val="left" w:pos="1567"/>
        </w:tabs>
        <w:ind w:left="1080"/>
        <w:jc w:val="both"/>
      </w:pPr>
      <w:r>
        <w:t xml:space="preserve"> </w:t>
      </w:r>
      <w:r w:rsidR="00727AA3">
        <w:tab/>
      </w:r>
    </w:p>
    <w:p w14:paraId="4E1BA492" w14:textId="77777777" w:rsidR="00F00FAC" w:rsidRPr="00F00FAC" w:rsidRDefault="00F00FAC" w:rsidP="005C568C">
      <w:pPr>
        <w:pStyle w:val="ListParagraph"/>
        <w:numPr>
          <w:ilvl w:val="0"/>
          <w:numId w:val="58"/>
        </w:numPr>
        <w:tabs>
          <w:tab w:val="left" w:pos="1080"/>
          <w:tab w:val="left" w:pos="1440"/>
        </w:tabs>
        <w:ind w:left="1440"/>
        <w:jc w:val="both"/>
        <w:rPr>
          <w:sz w:val="24"/>
          <w:szCs w:val="24"/>
        </w:rPr>
      </w:pPr>
      <w:r w:rsidRPr="00F00FAC">
        <w:rPr>
          <w:sz w:val="24"/>
          <w:szCs w:val="24"/>
        </w:rPr>
        <w:t>Emergency Engine Designation and Operating Criteria</w:t>
      </w:r>
    </w:p>
    <w:p w14:paraId="1585546D" w14:textId="77777777" w:rsidR="006846E7" w:rsidRPr="00F00FAC" w:rsidRDefault="006846E7" w:rsidP="00F00FAC">
      <w:pPr>
        <w:pStyle w:val="BodyTextIndent"/>
        <w:tabs>
          <w:tab w:val="left" w:pos="1440"/>
          <w:tab w:val="left" w:pos="1530"/>
        </w:tabs>
        <w:ind w:left="1440"/>
        <w:jc w:val="both"/>
      </w:pPr>
    </w:p>
    <w:p w14:paraId="370495D7" w14:textId="779D1F2C" w:rsidR="00F00FAC" w:rsidRPr="00F00FAC" w:rsidRDefault="00F00FAC" w:rsidP="00F00FAC">
      <w:pPr>
        <w:tabs>
          <w:tab w:val="left" w:pos="1080"/>
          <w:tab w:val="left" w:pos="1440"/>
        </w:tabs>
        <w:ind w:left="1440"/>
        <w:jc w:val="both"/>
        <w:rPr>
          <w:sz w:val="24"/>
          <w:szCs w:val="24"/>
        </w:rPr>
      </w:pPr>
      <w:r w:rsidRPr="00F00FAC">
        <w:rPr>
          <w:sz w:val="24"/>
          <w:szCs w:val="24"/>
        </w:rPr>
        <w:t>Under</w:t>
      </w:r>
      <w:r w:rsidR="00D71030">
        <w:rPr>
          <w:sz w:val="24"/>
          <w:szCs w:val="24"/>
        </w:rPr>
        <w:t xml:space="preserve"> 40 C.F.R. Part 60,</w:t>
      </w:r>
      <w:r w:rsidRPr="00F00FAC">
        <w:rPr>
          <w:sz w:val="24"/>
          <w:szCs w:val="24"/>
        </w:rPr>
        <w:t xml:space="preserve"> Subpart IIII, a stationary reciprocating internal combustion engine (ICE) is considered an </w:t>
      </w:r>
      <w:r w:rsidRPr="00F00FAC">
        <w:rPr>
          <w:b/>
          <w:sz w:val="24"/>
          <w:szCs w:val="24"/>
        </w:rPr>
        <w:t>emergency</w:t>
      </w:r>
      <w:r w:rsidRPr="00F00FAC">
        <w:rPr>
          <w:sz w:val="24"/>
          <w:szCs w:val="24"/>
        </w:rPr>
        <w:t xml:space="preserve"> stationary ICE (emergency engine) </w:t>
      </w:r>
      <w:proofErr w:type="gramStart"/>
      <w:r w:rsidRPr="00F00FAC">
        <w:rPr>
          <w:sz w:val="24"/>
          <w:szCs w:val="24"/>
        </w:rPr>
        <w:t>as long as</w:t>
      </w:r>
      <w:proofErr w:type="gramEnd"/>
      <w:r w:rsidRPr="00F00FAC">
        <w:rPr>
          <w:sz w:val="24"/>
          <w:szCs w:val="24"/>
        </w:rPr>
        <w:t xml:space="preserve"> the engine is operated in accordance with the following criteria.  Operation of an engine outside of the criteria specified below may cause the engine to no longer be considered an emergency engine under </w:t>
      </w:r>
      <w:r w:rsidR="00D71030">
        <w:rPr>
          <w:sz w:val="24"/>
          <w:szCs w:val="24"/>
        </w:rPr>
        <w:t xml:space="preserve">40 C.F.R. Part 60, </w:t>
      </w:r>
      <w:r w:rsidRPr="00F00FAC">
        <w:rPr>
          <w:sz w:val="24"/>
          <w:szCs w:val="24"/>
        </w:rPr>
        <w:t>Subpart</w:t>
      </w:r>
      <w:r w:rsidR="002E34B6">
        <w:rPr>
          <w:sz w:val="24"/>
          <w:szCs w:val="24"/>
        </w:rPr>
        <w:t> </w:t>
      </w:r>
      <w:r w:rsidRPr="00F00FAC">
        <w:rPr>
          <w:sz w:val="24"/>
          <w:szCs w:val="24"/>
        </w:rPr>
        <w:t>IIII, resulting in the engine being subject to requirements</w:t>
      </w:r>
      <w:r w:rsidR="00BA1B44">
        <w:rPr>
          <w:sz w:val="24"/>
          <w:szCs w:val="24"/>
        </w:rPr>
        <w:t xml:space="preserve"> of this subpart</w:t>
      </w:r>
      <w:r w:rsidRPr="00F00FAC">
        <w:rPr>
          <w:sz w:val="24"/>
          <w:szCs w:val="24"/>
        </w:rPr>
        <w:t xml:space="preserve"> applicable to </w:t>
      </w:r>
      <w:r w:rsidRPr="00F00FAC">
        <w:rPr>
          <w:b/>
          <w:sz w:val="24"/>
          <w:szCs w:val="24"/>
        </w:rPr>
        <w:t>non-emergency</w:t>
      </w:r>
      <w:r w:rsidRPr="00F00FAC">
        <w:rPr>
          <w:sz w:val="24"/>
          <w:szCs w:val="24"/>
        </w:rPr>
        <w:t xml:space="preserve"> engines.  </w:t>
      </w:r>
    </w:p>
    <w:p w14:paraId="45F53471" w14:textId="77777777" w:rsidR="00F00FAC" w:rsidRPr="00F00FAC" w:rsidRDefault="00F00FAC" w:rsidP="00F00FAC">
      <w:pPr>
        <w:tabs>
          <w:tab w:val="left" w:pos="1080"/>
          <w:tab w:val="left" w:pos="1440"/>
        </w:tabs>
        <w:ind w:left="1440"/>
        <w:jc w:val="both"/>
        <w:rPr>
          <w:sz w:val="16"/>
          <w:szCs w:val="16"/>
        </w:rPr>
      </w:pPr>
    </w:p>
    <w:p w14:paraId="6AE9BCFF" w14:textId="77777777" w:rsidR="00F00FAC" w:rsidRPr="00F00FAC" w:rsidRDefault="00F00FAC" w:rsidP="005C568C">
      <w:pPr>
        <w:numPr>
          <w:ilvl w:val="0"/>
          <w:numId w:val="59"/>
        </w:numPr>
        <w:tabs>
          <w:tab w:val="left" w:pos="1080"/>
          <w:tab w:val="left" w:pos="1440"/>
        </w:tabs>
        <w:ind w:left="1800"/>
        <w:contextualSpacing/>
        <w:jc w:val="both"/>
        <w:rPr>
          <w:sz w:val="24"/>
          <w:szCs w:val="24"/>
        </w:rPr>
      </w:pPr>
      <w:proofErr w:type="gramStart"/>
      <w:r w:rsidRPr="00F00FAC">
        <w:rPr>
          <w:sz w:val="24"/>
          <w:szCs w:val="24"/>
        </w:rPr>
        <w:t>Emergency Situation</w:t>
      </w:r>
      <w:proofErr w:type="gramEnd"/>
      <w:r w:rsidRPr="00F00FAC">
        <w:rPr>
          <w:sz w:val="24"/>
          <w:szCs w:val="24"/>
        </w:rPr>
        <w:t xml:space="preserve"> Operation</w:t>
      </w:r>
      <w:r w:rsidR="008A0E85">
        <w:rPr>
          <w:sz w:val="24"/>
          <w:szCs w:val="24"/>
        </w:rPr>
        <w:t xml:space="preserve"> (On-Site)</w:t>
      </w:r>
    </w:p>
    <w:p w14:paraId="24047CB2" w14:textId="77777777" w:rsidR="0016388E" w:rsidRPr="00F00FAC" w:rsidRDefault="0016388E" w:rsidP="0016388E">
      <w:pPr>
        <w:tabs>
          <w:tab w:val="left" w:pos="1080"/>
        </w:tabs>
        <w:ind w:left="1800"/>
        <w:jc w:val="both"/>
        <w:rPr>
          <w:sz w:val="16"/>
          <w:szCs w:val="16"/>
        </w:rPr>
      </w:pPr>
    </w:p>
    <w:p w14:paraId="70D5F784" w14:textId="53B08EFE" w:rsidR="0016388E" w:rsidRDefault="0016388E" w:rsidP="0016388E">
      <w:pPr>
        <w:tabs>
          <w:tab w:val="left" w:pos="1080"/>
        </w:tabs>
        <w:ind w:left="1800"/>
        <w:jc w:val="both"/>
        <w:rPr>
          <w:sz w:val="24"/>
          <w:szCs w:val="24"/>
        </w:rPr>
      </w:pPr>
      <w:r w:rsidRPr="00F00FAC">
        <w:rPr>
          <w:sz w:val="24"/>
          <w:szCs w:val="24"/>
        </w:rPr>
        <w:t xml:space="preserve">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5B857B10"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0016388E" w:rsidRPr="00594CCF">
        <w:rPr>
          <w:sz w:val="24"/>
          <w:szCs w:val="24"/>
        </w:rPr>
        <w:t>);</w:t>
      </w:r>
      <w:proofErr w:type="gramEnd"/>
      <w:r w:rsidR="0016388E" w:rsidRPr="00594CCF">
        <w:rPr>
          <w:sz w:val="24"/>
          <w:szCs w:val="24"/>
        </w:rPr>
        <w:t xml:space="preserve"> </w:t>
      </w:r>
    </w:p>
    <w:p w14:paraId="2ACEF53F"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mitigate an on-site </w:t>
      </w:r>
      <w:proofErr w:type="gramStart"/>
      <w:r w:rsidR="0016388E" w:rsidRPr="00594CCF">
        <w:rPr>
          <w:sz w:val="24"/>
          <w:szCs w:val="24"/>
        </w:rPr>
        <w:t>disaster;</w:t>
      </w:r>
      <w:proofErr w:type="gramEnd"/>
      <w:r w:rsidR="0016388E" w:rsidRPr="00594CCF">
        <w:rPr>
          <w:sz w:val="24"/>
          <w:szCs w:val="24"/>
        </w:rPr>
        <w:t xml:space="preserve"> </w:t>
      </w:r>
    </w:p>
    <w:p w14:paraId="60A342F5"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Use of</w:t>
      </w:r>
      <w:r w:rsidR="0016388E" w:rsidRPr="00594CCF">
        <w:rPr>
          <w:sz w:val="24"/>
          <w:szCs w:val="24"/>
        </w:rPr>
        <w:t xml:space="preserve"> an engine to pump water in the case of fire,</w:t>
      </w:r>
      <w:r w:rsidR="0016388E">
        <w:rPr>
          <w:sz w:val="24"/>
          <w:szCs w:val="24"/>
        </w:rPr>
        <w:t xml:space="preserve"> </w:t>
      </w:r>
      <w:r w:rsidR="0016388E" w:rsidRPr="00594CCF">
        <w:rPr>
          <w:sz w:val="24"/>
          <w:szCs w:val="24"/>
        </w:rPr>
        <w:t>flood, natural disaster, or severe weather conditions</w:t>
      </w:r>
      <w:r w:rsidR="0016388E">
        <w:rPr>
          <w:sz w:val="24"/>
          <w:szCs w:val="24"/>
        </w:rPr>
        <w:t>;</w:t>
      </w:r>
      <w:r w:rsidR="0016388E" w:rsidRPr="00594CCF">
        <w:rPr>
          <w:sz w:val="24"/>
          <w:szCs w:val="24"/>
        </w:rPr>
        <w:t xml:space="preserve"> and </w:t>
      </w:r>
    </w:p>
    <w:p w14:paraId="724C9F5F"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S</w:t>
      </w:r>
      <w:r w:rsidR="0016388E" w:rsidRPr="00594CCF">
        <w:rPr>
          <w:sz w:val="24"/>
          <w:szCs w:val="24"/>
        </w:rPr>
        <w:t xml:space="preserve">imilar instances. </w:t>
      </w:r>
    </w:p>
    <w:p w14:paraId="008AEEB6" w14:textId="77777777" w:rsidR="00F00FAC" w:rsidRPr="00F00FAC" w:rsidRDefault="00F00FAC" w:rsidP="00F00FAC">
      <w:pPr>
        <w:autoSpaceDE w:val="0"/>
        <w:autoSpaceDN w:val="0"/>
        <w:adjustRightInd w:val="0"/>
        <w:ind w:left="2160"/>
        <w:contextualSpacing/>
        <w:jc w:val="both"/>
        <w:rPr>
          <w:sz w:val="16"/>
          <w:szCs w:val="16"/>
        </w:rPr>
      </w:pPr>
    </w:p>
    <w:p w14:paraId="6CF45E82" w14:textId="77777777" w:rsidR="00F00FAC" w:rsidRPr="00F00FAC" w:rsidRDefault="00F00FAC" w:rsidP="005C568C">
      <w:pPr>
        <w:numPr>
          <w:ilvl w:val="0"/>
          <w:numId w:val="59"/>
        </w:numPr>
        <w:autoSpaceDE w:val="0"/>
        <w:autoSpaceDN w:val="0"/>
        <w:adjustRightInd w:val="0"/>
        <w:ind w:left="1800"/>
        <w:contextualSpacing/>
        <w:jc w:val="both"/>
        <w:rPr>
          <w:sz w:val="24"/>
          <w:szCs w:val="24"/>
        </w:rPr>
      </w:pPr>
      <w:r w:rsidRPr="00F00FAC">
        <w:rPr>
          <w:iCs/>
          <w:sz w:val="24"/>
          <w:szCs w:val="24"/>
        </w:rPr>
        <w:t>Non-Emergency Situation Operation</w:t>
      </w:r>
    </w:p>
    <w:p w14:paraId="75DA8960" w14:textId="77777777" w:rsidR="00F00FAC" w:rsidRPr="00F00FAC" w:rsidRDefault="00F00FAC" w:rsidP="00F00FAC">
      <w:pPr>
        <w:autoSpaceDE w:val="0"/>
        <w:autoSpaceDN w:val="0"/>
        <w:adjustRightInd w:val="0"/>
        <w:ind w:left="1440"/>
        <w:jc w:val="both"/>
        <w:rPr>
          <w:iCs/>
          <w:sz w:val="24"/>
          <w:szCs w:val="24"/>
        </w:rPr>
      </w:pPr>
    </w:p>
    <w:p w14:paraId="5BD51FAF" w14:textId="77777777" w:rsidR="00F00FAC" w:rsidRPr="00F00FAC" w:rsidRDefault="00F00FAC" w:rsidP="00F00FAC">
      <w:pPr>
        <w:autoSpaceDE w:val="0"/>
        <w:autoSpaceDN w:val="0"/>
        <w:adjustRightInd w:val="0"/>
        <w:ind w:left="1800"/>
        <w:jc w:val="both"/>
        <w:rPr>
          <w:sz w:val="24"/>
          <w:szCs w:val="24"/>
        </w:rPr>
      </w:pPr>
      <w:r w:rsidRPr="00F00FAC">
        <w:rPr>
          <w:iCs/>
          <w:sz w:val="24"/>
          <w:szCs w:val="24"/>
        </w:rPr>
        <w:t>An emergency engine may be operated up to a maximum of 1</w:t>
      </w:r>
      <w:r w:rsidR="0078299E">
        <w:rPr>
          <w:iCs/>
          <w:sz w:val="24"/>
          <w:szCs w:val="24"/>
        </w:rPr>
        <w:t>00 hours per calendar year for maintenance checks, readiness t</w:t>
      </w:r>
      <w:r w:rsidRPr="00F00FAC">
        <w:rPr>
          <w:iCs/>
          <w:sz w:val="24"/>
          <w:szCs w:val="24"/>
        </w:rPr>
        <w:t>esting, and other non</w:t>
      </w:r>
      <w:r w:rsidRPr="00F00FAC">
        <w:rPr>
          <w:iCs/>
          <w:sz w:val="24"/>
          <w:szCs w:val="24"/>
        </w:rPr>
        <w:noBreakHyphen/>
        <w:t>emergency situations as described below.</w:t>
      </w:r>
    </w:p>
    <w:p w14:paraId="1A2D6780" w14:textId="77777777" w:rsidR="00F00FAC" w:rsidRPr="00F00FAC" w:rsidRDefault="00F00FAC" w:rsidP="00F00FAC">
      <w:pPr>
        <w:autoSpaceDE w:val="0"/>
        <w:autoSpaceDN w:val="0"/>
        <w:adjustRightInd w:val="0"/>
        <w:ind w:left="1800"/>
        <w:contextualSpacing/>
        <w:jc w:val="both"/>
        <w:rPr>
          <w:sz w:val="16"/>
          <w:szCs w:val="16"/>
        </w:rPr>
      </w:pPr>
    </w:p>
    <w:p w14:paraId="5AE854B1" w14:textId="77777777" w:rsidR="00F00FAC" w:rsidRPr="00F00FAC" w:rsidRDefault="00F00FAC" w:rsidP="005C568C">
      <w:pPr>
        <w:numPr>
          <w:ilvl w:val="0"/>
          <w:numId w:val="60"/>
        </w:numPr>
        <w:autoSpaceDE w:val="0"/>
        <w:autoSpaceDN w:val="0"/>
        <w:adjustRightInd w:val="0"/>
        <w:ind w:left="2160"/>
        <w:contextualSpacing/>
        <w:jc w:val="both"/>
        <w:rPr>
          <w:sz w:val="24"/>
          <w:szCs w:val="24"/>
        </w:rPr>
      </w:pPr>
      <w:r w:rsidRPr="00F00FAC">
        <w:rPr>
          <w:iCs/>
          <w:sz w:val="24"/>
          <w:szCs w:val="24"/>
        </w:rPr>
        <w:t>An e</w:t>
      </w:r>
      <w:r w:rsidRPr="00F00FAC">
        <w:rPr>
          <w:sz w:val="24"/>
          <w:szCs w:val="24"/>
        </w:rPr>
        <w:t xml:space="preserve">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w:t>
      </w:r>
      <w:r w:rsidRPr="00F00FAC">
        <w:rPr>
          <w:sz w:val="24"/>
          <w:szCs w:val="24"/>
        </w:rPr>
        <w:lastRenderedPageBreak/>
        <w:t>maintenance checks and readiness testing, but a petition is not required if the owner or operator maintains records indicating that federal, state, or local standards require maintenance and testing of emergency ICE more than 100 hours per calendar year.</w:t>
      </w:r>
    </w:p>
    <w:p w14:paraId="1E05F72D" w14:textId="77777777" w:rsidR="00F00FAC" w:rsidRPr="007A7D25" w:rsidRDefault="00F00FAC" w:rsidP="00F00FAC">
      <w:pPr>
        <w:tabs>
          <w:tab w:val="left" w:pos="1080"/>
        </w:tabs>
        <w:ind w:left="1440"/>
        <w:jc w:val="both"/>
        <w:rPr>
          <w:sz w:val="24"/>
          <w:szCs w:val="24"/>
        </w:rPr>
      </w:pPr>
    </w:p>
    <w:p w14:paraId="65E829E6" w14:textId="77777777" w:rsidR="00F00FAC" w:rsidRPr="00F00FAC" w:rsidRDefault="00F00FAC" w:rsidP="005C568C">
      <w:pPr>
        <w:numPr>
          <w:ilvl w:val="0"/>
          <w:numId w:val="64"/>
        </w:numPr>
        <w:tabs>
          <w:tab w:val="left" w:pos="1440"/>
          <w:tab w:val="left" w:pos="1800"/>
        </w:tabs>
        <w:ind w:left="2160"/>
        <w:contextualSpacing/>
        <w:jc w:val="both"/>
        <w:rPr>
          <w:sz w:val="24"/>
          <w:szCs w:val="24"/>
        </w:rPr>
      </w:pPr>
      <w:r w:rsidRPr="00F00FAC">
        <w:rPr>
          <w:iCs/>
          <w:sz w:val="24"/>
          <w:szCs w:val="24"/>
        </w:rPr>
        <w:t>An e</w:t>
      </w:r>
      <w:r w:rsidRPr="00F00FAC">
        <w:rPr>
          <w:sz w:val="24"/>
          <w:szCs w:val="24"/>
        </w:rPr>
        <w:t>mergency engine may be operated for up to 50 hours per calendar year for other non</w:t>
      </w:r>
      <w:r w:rsidRPr="00F00FAC">
        <w:rPr>
          <w:sz w:val="24"/>
          <w:szCs w:val="24"/>
        </w:rPr>
        <w:noBreakHyphen/>
        <w:t xml:space="preserve">emergency situations.  </w:t>
      </w:r>
      <w:r w:rsidRPr="00F00FAC">
        <w:rPr>
          <w:b/>
          <w:sz w:val="24"/>
          <w:szCs w:val="24"/>
        </w:rPr>
        <w:t>However,</w:t>
      </w:r>
      <w:r w:rsidRPr="00F00FAC">
        <w:rPr>
          <w:sz w:val="24"/>
          <w:szCs w:val="24"/>
        </w:rPr>
        <w:t xml:space="preserve"> </w:t>
      </w:r>
      <w:r w:rsidRPr="00F00FAC">
        <w:rPr>
          <w:b/>
          <w:sz w:val="24"/>
          <w:szCs w:val="24"/>
        </w:rPr>
        <w:t>these operating hours are counted as part of the 100 hours per calendar year</w:t>
      </w:r>
      <w:r w:rsidRPr="00F00FAC">
        <w:rPr>
          <w:sz w:val="24"/>
          <w:szCs w:val="24"/>
        </w:rPr>
        <w:t xml:space="preserve"> </w:t>
      </w:r>
      <w:r w:rsidRPr="00F00FAC">
        <w:rPr>
          <w:b/>
          <w:sz w:val="24"/>
          <w:szCs w:val="24"/>
        </w:rPr>
        <w:t>operating limit described in paragraph (2) and (2) (</w:t>
      </w:r>
      <w:proofErr w:type="spellStart"/>
      <w:r w:rsidRPr="00F00FAC">
        <w:rPr>
          <w:b/>
          <w:sz w:val="24"/>
          <w:szCs w:val="24"/>
        </w:rPr>
        <w:t>i</w:t>
      </w:r>
      <w:proofErr w:type="spellEnd"/>
      <w:r w:rsidRPr="00F00FAC">
        <w:rPr>
          <w:b/>
          <w:sz w:val="24"/>
          <w:szCs w:val="24"/>
        </w:rPr>
        <w:t>) above.</w:t>
      </w:r>
    </w:p>
    <w:p w14:paraId="169C515F" w14:textId="77777777" w:rsidR="00F00FAC" w:rsidRDefault="00F00FAC" w:rsidP="0054519E">
      <w:pPr>
        <w:tabs>
          <w:tab w:val="left" w:pos="1440"/>
          <w:tab w:val="left" w:pos="1800"/>
        </w:tabs>
        <w:ind w:left="2160"/>
        <w:contextualSpacing/>
        <w:jc w:val="both"/>
        <w:rPr>
          <w:sz w:val="24"/>
          <w:szCs w:val="24"/>
        </w:rPr>
      </w:pPr>
      <w:r w:rsidRPr="00F00FAC">
        <w:rPr>
          <w:b/>
          <w:sz w:val="24"/>
          <w:szCs w:val="24"/>
        </w:rPr>
        <w:t xml:space="preserve"> </w:t>
      </w:r>
      <w:r w:rsidRPr="00F00FAC">
        <w:rPr>
          <w:b/>
          <w:sz w:val="24"/>
          <w:szCs w:val="24"/>
        </w:rPr>
        <w:br/>
      </w:r>
      <w:r w:rsidRPr="00F00FAC">
        <w:rPr>
          <w:sz w:val="24"/>
          <w:szCs w:val="24"/>
        </w:rPr>
        <w:t>The 50 hours per calendar year operating limit for other non</w:t>
      </w:r>
      <w:r w:rsidRPr="00F00FAC">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05EA63CF" w14:textId="77777777" w:rsidR="0054519E" w:rsidRPr="00F00FAC" w:rsidRDefault="0054519E" w:rsidP="0054519E">
      <w:pPr>
        <w:tabs>
          <w:tab w:val="left" w:pos="1440"/>
          <w:tab w:val="left" w:pos="1800"/>
        </w:tabs>
        <w:ind w:left="2160"/>
        <w:contextualSpacing/>
        <w:jc w:val="both"/>
        <w:rPr>
          <w:sz w:val="24"/>
          <w:szCs w:val="24"/>
        </w:rPr>
      </w:pPr>
    </w:p>
    <w:p w14:paraId="0C03BBD1" w14:textId="77777777" w:rsidR="00F00FAC" w:rsidRPr="00F00FAC" w:rsidRDefault="00F00FAC" w:rsidP="00F00FAC">
      <w:pPr>
        <w:autoSpaceDE w:val="0"/>
        <w:autoSpaceDN w:val="0"/>
        <w:adjustRightInd w:val="0"/>
        <w:ind w:left="1440"/>
        <w:rPr>
          <w:szCs w:val="24"/>
        </w:rPr>
      </w:pPr>
      <w:r w:rsidRPr="00F00FAC">
        <w:rPr>
          <w:iCs/>
          <w:sz w:val="24"/>
          <w:szCs w:val="24"/>
        </w:rPr>
        <w:t>[40 C</w:t>
      </w:r>
      <w:r w:rsidR="003F7B6A">
        <w:rPr>
          <w:iCs/>
          <w:sz w:val="24"/>
          <w:szCs w:val="24"/>
        </w:rPr>
        <w:t>.</w:t>
      </w:r>
      <w:r w:rsidRPr="00F00FAC">
        <w:rPr>
          <w:iCs/>
          <w:sz w:val="24"/>
          <w:szCs w:val="24"/>
        </w:rPr>
        <w:t>F</w:t>
      </w:r>
      <w:r w:rsidR="003F7B6A">
        <w:rPr>
          <w:iCs/>
          <w:sz w:val="24"/>
          <w:szCs w:val="24"/>
        </w:rPr>
        <w:t>.</w:t>
      </w:r>
      <w:r w:rsidRPr="00F00FAC">
        <w:rPr>
          <w:iCs/>
          <w:sz w:val="24"/>
          <w:szCs w:val="24"/>
        </w:rPr>
        <w:t>R</w:t>
      </w:r>
      <w:r w:rsidR="003F7B6A">
        <w:rPr>
          <w:iCs/>
          <w:sz w:val="24"/>
          <w:szCs w:val="24"/>
        </w:rPr>
        <w:t>.</w:t>
      </w:r>
      <w:r w:rsidRPr="00F00FAC">
        <w:rPr>
          <w:iCs/>
          <w:sz w:val="24"/>
          <w:szCs w:val="24"/>
        </w:rPr>
        <w:t xml:space="preserve"> §</w:t>
      </w:r>
      <w:r w:rsidR="003F7B6A">
        <w:rPr>
          <w:iCs/>
          <w:sz w:val="24"/>
          <w:szCs w:val="24"/>
        </w:rPr>
        <w:t xml:space="preserve">§ 60.4211(f) and </w:t>
      </w:r>
      <w:r w:rsidRPr="00F00FAC">
        <w:rPr>
          <w:iCs/>
          <w:sz w:val="24"/>
          <w:szCs w:val="24"/>
        </w:rPr>
        <w:t>60.4219]</w:t>
      </w:r>
    </w:p>
    <w:p w14:paraId="0648FC93" w14:textId="77777777" w:rsidR="009C28A7" w:rsidRPr="00460D0D" w:rsidRDefault="009C28A7" w:rsidP="00460D0D">
      <w:pPr>
        <w:pStyle w:val="BodyTextIndent"/>
        <w:ind w:left="0"/>
      </w:pPr>
    </w:p>
    <w:p w14:paraId="390E36FE" w14:textId="77777777" w:rsidR="006846E7" w:rsidRDefault="006846E7" w:rsidP="00F73523">
      <w:pPr>
        <w:pStyle w:val="BodyTextIndent"/>
        <w:numPr>
          <w:ilvl w:val="2"/>
          <w:numId w:val="12"/>
        </w:numPr>
        <w:tabs>
          <w:tab w:val="left" w:pos="1080"/>
        </w:tabs>
        <w:ind w:left="1440"/>
      </w:pPr>
      <w:r w:rsidRPr="00B01E3B">
        <w:t>40 C</w:t>
      </w:r>
      <w:r w:rsidR="003F7B6A">
        <w:t>.</w:t>
      </w:r>
      <w:r w:rsidRPr="00B01E3B">
        <w:t>F</w:t>
      </w:r>
      <w:r w:rsidR="003F7B6A">
        <w:t>.</w:t>
      </w:r>
      <w:r w:rsidRPr="00B01E3B">
        <w:t>R</w:t>
      </w:r>
      <w:r w:rsidR="003F7B6A">
        <w:t>.</w:t>
      </w:r>
      <w:r w:rsidRPr="00B01E3B">
        <w:t xml:space="preserve"> Par</w:t>
      </w:r>
      <w:r w:rsidR="00460D0D">
        <w:t>t 60, Subpart IIII Requirements</w:t>
      </w:r>
    </w:p>
    <w:p w14:paraId="716092D3" w14:textId="77777777" w:rsidR="006846E7" w:rsidRDefault="006846E7" w:rsidP="006846E7">
      <w:pPr>
        <w:pStyle w:val="BodyTextIndent"/>
        <w:tabs>
          <w:tab w:val="left" w:pos="1080"/>
        </w:tabs>
        <w:ind w:left="1440"/>
      </w:pPr>
    </w:p>
    <w:p w14:paraId="20ED9FB7" w14:textId="77777777" w:rsidR="006846E7" w:rsidRDefault="006846E7" w:rsidP="00F73523">
      <w:pPr>
        <w:pStyle w:val="BodyTextIndent"/>
        <w:numPr>
          <w:ilvl w:val="0"/>
          <w:numId w:val="20"/>
        </w:numPr>
        <w:tabs>
          <w:tab w:val="left" w:pos="1080"/>
          <w:tab w:val="left" w:pos="1800"/>
        </w:tabs>
        <w:ind w:left="1800"/>
      </w:pPr>
      <w:r>
        <w:t>Manufacturer Certification Requirement</w:t>
      </w:r>
    </w:p>
    <w:p w14:paraId="5714FB15" w14:textId="511DE772" w:rsidR="006846E7" w:rsidRDefault="006846E7" w:rsidP="006846E7">
      <w:pPr>
        <w:pStyle w:val="BodyTextIndent"/>
        <w:tabs>
          <w:tab w:val="left" w:pos="1080"/>
          <w:tab w:val="left" w:pos="1800"/>
        </w:tabs>
        <w:ind w:left="1800"/>
        <w:jc w:val="both"/>
      </w:pPr>
      <w:r w:rsidRPr="00741738">
        <w:t xml:space="preserve">The </w:t>
      </w:r>
      <w:r w:rsidR="004F7078">
        <w:t>engine</w:t>
      </w:r>
      <w:r w:rsidR="0042397E">
        <w:t>s</w:t>
      </w:r>
      <w:r w:rsidRPr="00741738">
        <w:t xml:space="preserve"> shall be certified by the manufacturer as meeting the emission standards for new </w:t>
      </w:r>
      <w:proofErr w:type="gramStart"/>
      <w:r w:rsidRPr="00741738">
        <w:t>nonroad</w:t>
      </w:r>
      <w:proofErr w:type="gramEnd"/>
      <w:r w:rsidRPr="00741738">
        <w:t xml:space="preserve"> compression ignition eng</w:t>
      </w:r>
      <w:r w:rsidR="00013E2E">
        <w:t>ines found in 40</w:t>
      </w:r>
      <w:r w:rsidR="00F00FAC">
        <w:t> </w:t>
      </w:r>
      <w:r w:rsidR="00013E2E">
        <w:t>C</w:t>
      </w:r>
      <w:r w:rsidR="003F7B6A">
        <w:t>.</w:t>
      </w:r>
      <w:r w:rsidR="00013E2E">
        <w:t>F</w:t>
      </w:r>
      <w:r w:rsidR="003F7B6A">
        <w:t>.</w:t>
      </w:r>
      <w:r w:rsidR="00013E2E">
        <w:t>R</w:t>
      </w:r>
      <w:r w:rsidR="003F7B6A">
        <w:t>.</w:t>
      </w:r>
      <w:r w:rsidR="00F00FAC">
        <w:t> </w:t>
      </w:r>
      <w:r w:rsidR="00013E2E">
        <w:t>§</w:t>
      </w:r>
      <w:r w:rsidR="003F7B6A">
        <w:t> </w:t>
      </w:r>
      <w:r w:rsidR="00013E2E">
        <w:t xml:space="preserve">60.4202. </w:t>
      </w:r>
      <w:r w:rsidRPr="00741738">
        <w:t>[40 C</w:t>
      </w:r>
      <w:r w:rsidR="003F7B6A">
        <w:t>.</w:t>
      </w:r>
      <w:r w:rsidRPr="00741738">
        <w:t>F</w:t>
      </w:r>
      <w:r w:rsidR="003F7B6A">
        <w:t>.</w:t>
      </w:r>
      <w:r w:rsidRPr="00741738">
        <w:t>R</w:t>
      </w:r>
      <w:r w:rsidR="003F7B6A">
        <w:t>.</w:t>
      </w:r>
      <w:r w:rsidRPr="00741738">
        <w:t xml:space="preserve"> §</w:t>
      </w:r>
      <w:r w:rsidR="003F7B6A">
        <w:t xml:space="preserve"> </w:t>
      </w:r>
      <w:r w:rsidRPr="00741738">
        <w:t>60.4205(b)]</w:t>
      </w:r>
    </w:p>
    <w:p w14:paraId="5AF13908" w14:textId="77777777" w:rsidR="006846E7" w:rsidRDefault="006846E7" w:rsidP="006846E7">
      <w:pPr>
        <w:pStyle w:val="BodyTextIndent"/>
        <w:tabs>
          <w:tab w:val="left" w:pos="1080"/>
          <w:tab w:val="left" w:pos="1800"/>
        </w:tabs>
        <w:ind w:left="1800"/>
      </w:pPr>
    </w:p>
    <w:p w14:paraId="7325D107" w14:textId="77777777" w:rsidR="006846E7" w:rsidRDefault="006846E7" w:rsidP="00F73523">
      <w:pPr>
        <w:pStyle w:val="BodyTextIndent"/>
        <w:numPr>
          <w:ilvl w:val="0"/>
          <w:numId w:val="20"/>
        </w:numPr>
        <w:tabs>
          <w:tab w:val="left" w:pos="1080"/>
          <w:tab w:val="left" w:pos="1800"/>
        </w:tabs>
        <w:ind w:left="1800"/>
        <w:jc w:val="both"/>
      </w:pPr>
      <w:r>
        <w:t>Ultra-Low Sulfur Fuel Requirement</w:t>
      </w:r>
    </w:p>
    <w:p w14:paraId="0CD0F3AE" w14:textId="7B5D4265" w:rsidR="003F7B6A" w:rsidRDefault="004F7078" w:rsidP="006846E7">
      <w:pPr>
        <w:pStyle w:val="BodyTextIndent"/>
        <w:tabs>
          <w:tab w:val="left" w:pos="1080"/>
          <w:tab w:val="left" w:pos="1800"/>
        </w:tabs>
        <w:ind w:left="1800"/>
        <w:jc w:val="both"/>
      </w:pPr>
      <w:r>
        <w:t>The fuel fired in the engine</w:t>
      </w:r>
      <w:r w:rsidR="0042397E">
        <w:t>s</w:t>
      </w:r>
      <w:r w:rsidR="006846E7" w:rsidRPr="00741738">
        <w:t xml:space="preserve"> shall not exceed 15 ppm sulfur (0.0015%</w:t>
      </w:r>
      <w:r w:rsidR="00F00FAC">
        <w:t> </w:t>
      </w:r>
      <w:r w:rsidR="00CF659D">
        <w:t>sulfur)</w:t>
      </w:r>
      <w:r w:rsidR="00013E2E">
        <w:t xml:space="preserve">. </w:t>
      </w:r>
    </w:p>
    <w:p w14:paraId="472110AF" w14:textId="77777777" w:rsidR="006846E7" w:rsidRDefault="006846E7" w:rsidP="006846E7">
      <w:pPr>
        <w:pStyle w:val="BodyTextIndent"/>
        <w:tabs>
          <w:tab w:val="left" w:pos="1080"/>
          <w:tab w:val="left" w:pos="1800"/>
        </w:tabs>
        <w:ind w:left="1800"/>
        <w:jc w:val="both"/>
      </w:pPr>
      <w:r w:rsidRPr="00741738">
        <w:t>[40</w:t>
      </w:r>
      <w:r w:rsidR="00F00FAC">
        <w:t> </w:t>
      </w:r>
      <w:r w:rsidRPr="00741738">
        <w:t>C</w:t>
      </w:r>
      <w:r w:rsidR="003F7B6A">
        <w:t>.</w:t>
      </w:r>
      <w:r w:rsidRPr="00741738">
        <w:t>F</w:t>
      </w:r>
      <w:r w:rsidR="003F7B6A">
        <w:t>.</w:t>
      </w:r>
      <w:r w:rsidRPr="00741738">
        <w:t>R</w:t>
      </w:r>
      <w:r w:rsidR="003F7B6A">
        <w:t>.</w:t>
      </w:r>
      <w:r w:rsidR="00F00FAC">
        <w:t> </w:t>
      </w:r>
      <w:r w:rsidRPr="00741738">
        <w:t>§</w:t>
      </w:r>
      <w:r w:rsidR="003F7B6A">
        <w:t xml:space="preserve"> </w:t>
      </w:r>
      <w:r w:rsidRPr="00741738">
        <w:t>60.4207(b)]</w:t>
      </w:r>
    </w:p>
    <w:p w14:paraId="5A89E56F" w14:textId="77777777" w:rsidR="00F00FAC" w:rsidRDefault="00F00FAC" w:rsidP="00F00FAC">
      <w:pPr>
        <w:pStyle w:val="BodyTextIndent"/>
        <w:tabs>
          <w:tab w:val="left" w:pos="1080"/>
          <w:tab w:val="left" w:pos="1800"/>
        </w:tabs>
        <w:ind w:left="0"/>
      </w:pPr>
    </w:p>
    <w:p w14:paraId="7733C7AF" w14:textId="77777777" w:rsidR="006846E7" w:rsidRDefault="006846E7" w:rsidP="00F73523">
      <w:pPr>
        <w:pStyle w:val="BodyTextIndent"/>
        <w:numPr>
          <w:ilvl w:val="0"/>
          <w:numId w:val="20"/>
        </w:numPr>
        <w:tabs>
          <w:tab w:val="left" w:pos="1080"/>
          <w:tab w:val="left" w:pos="1800"/>
        </w:tabs>
        <w:ind w:left="1800"/>
      </w:pPr>
      <w:r w:rsidRPr="00741738">
        <w:t>Non-Resettable Hour Meter Requirement</w:t>
      </w:r>
    </w:p>
    <w:p w14:paraId="18808827" w14:textId="4CE4EC35" w:rsidR="006846E7" w:rsidRDefault="006846E7" w:rsidP="006846E7">
      <w:pPr>
        <w:pStyle w:val="BodyTextIndent"/>
        <w:tabs>
          <w:tab w:val="left" w:pos="1080"/>
          <w:tab w:val="left" w:pos="1800"/>
        </w:tabs>
        <w:ind w:left="1800"/>
        <w:jc w:val="both"/>
      </w:pPr>
      <w:r w:rsidRPr="00741738">
        <w:t xml:space="preserve">A non-resettable hour meter shall be installed and operated on </w:t>
      </w:r>
      <w:r w:rsidR="0042397E">
        <w:t>each</w:t>
      </w:r>
      <w:r w:rsidRPr="00741738">
        <w:t xml:space="preserve"> </w:t>
      </w:r>
      <w:r w:rsidR="004F7078">
        <w:t>engine</w:t>
      </w:r>
      <w:r w:rsidR="00013E2E">
        <w:t xml:space="preserve">. </w:t>
      </w:r>
      <w:r w:rsidRPr="00741738">
        <w:t>[40</w:t>
      </w:r>
      <w:r w:rsidR="0042397E">
        <w:t> </w:t>
      </w:r>
      <w:r w:rsidRPr="00741738">
        <w:t>C</w:t>
      </w:r>
      <w:r w:rsidR="003F7B6A">
        <w:t>.</w:t>
      </w:r>
      <w:r w:rsidRPr="00741738">
        <w:t>F</w:t>
      </w:r>
      <w:r w:rsidR="003F7B6A">
        <w:t>.</w:t>
      </w:r>
      <w:r w:rsidRPr="00741738">
        <w:t>R</w:t>
      </w:r>
      <w:r w:rsidR="003F7B6A">
        <w:t>.</w:t>
      </w:r>
      <w:r w:rsidRPr="00741738">
        <w:t xml:space="preserve"> §</w:t>
      </w:r>
      <w:r w:rsidR="003F7B6A">
        <w:t xml:space="preserve"> </w:t>
      </w:r>
      <w:r w:rsidRPr="00741738">
        <w:t>60.4209(a)]</w:t>
      </w:r>
    </w:p>
    <w:p w14:paraId="15F3F226" w14:textId="77777777" w:rsidR="006846E7" w:rsidRDefault="006846E7" w:rsidP="006846E7">
      <w:pPr>
        <w:pStyle w:val="BodyTextIndent"/>
        <w:tabs>
          <w:tab w:val="left" w:pos="1080"/>
          <w:tab w:val="left" w:pos="1800"/>
        </w:tabs>
        <w:ind w:left="1800"/>
      </w:pPr>
    </w:p>
    <w:p w14:paraId="4A9D5533" w14:textId="77777777" w:rsidR="006846E7" w:rsidRDefault="006846E7" w:rsidP="00F73523">
      <w:pPr>
        <w:pStyle w:val="BodyTextIndent"/>
        <w:numPr>
          <w:ilvl w:val="0"/>
          <w:numId w:val="20"/>
        </w:numPr>
        <w:tabs>
          <w:tab w:val="left" w:pos="1080"/>
          <w:tab w:val="left" w:pos="1800"/>
        </w:tabs>
        <w:ind w:left="1800"/>
      </w:pPr>
      <w:r>
        <w:t>Operation and Maintenance Requirements</w:t>
      </w:r>
    </w:p>
    <w:p w14:paraId="10DA649D" w14:textId="3FAA3370" w:rsidR="006846E7" w:rsidRDefault="006846E7" w:rsidP="006846E7">
      <w:pPr>
        <w:pStyle w:val="BodyTextIndent"/>
        <w:tabs>
          <w:tab w:val="left" w:pos="1080"/>
          <w:tab w:val="left" w:pos="1800"/>
        </w:tabs>
        <w:ind w:left="1800"/>
        <w:jc w:val="both"/>
      </w:pPr>
      <w:r w:rsidRPr="00741738">
        <w:t xml:space="preserve">The </w:t>
      </w:r>
      <w:r w:rsidR="00686B57">
        <w:t>engine</w:t>
      </w:r>
      <w:r w:rsidR="0042397E">
        <w:t>s</w:t>
      </w:r>
      <w:r w:rsidRPr="00741738">
        <w:t xml:space="preserve"> shall be operated and maintained according to the manufacturer’s emission-related written instructions</w:t>
      </w:r>
      <w:r w:rsidR="00013E2E">
        <w:t xml:space="preserve">. </w:t>
      </w:r>
      <w:r w:rsidR="0042397E">
        <w:t>N</w:t>
      </w:r>
      <w:r w:rsidR="007E6F9B">
        <w:t>ortheastern</w:t>
      </w:r>
      <w:r w:rsidRPr="00741738">
        <w:t xml:space="preserve"> may only change those emission-related settings that are </w:t>
      </w:r>
      <w:r w:rsidR="00013E2E">
        <w:t xml:space="preserve">permitted by the manufacturer. </w:t>
      </w:r>
      <w:r w:rsidRPr="00741738">
        <w:t>[40 C</w:t>
      </w:r>
      <w:r w:rsidR="003F7B6A">
        <w:t>.</w:t>
      </w:r>
      <w:r w:rsidRPr="00741738">
        <w:t>F</w:t>
      </w:r>
      <w:r w:rsidR="003F7B6A">
        <w:t>.</w:t>
      </w:r>
      <w:r w:rsidRPr="00741738">
        <w:t>R</w:t>
      </w:r>
      <w:r w:rsidR="003F7B6A">
        <w:t>.</w:t>
      </w:r>
      <w:r w:rsidRPr="00741738">
        <w:t xml:space="preserve"> §</w:t>
      </w:r>
      <w:r w:rsidR="007E6F9B">
        <w:t> </w:t>
      </w:r>
      <w:r w:rsidRPr="00741738">
        <w:t>60.4211(a)]</w:t>
      </w:r>
    </w:p>
    <w:p w14:paraId="2552A1C5" w14:textId="77777777" w:rsidR="002E34B6" w:rsidRDefault="002E34B6" w:rsidP="006846E7">
      <w:pPr>
        <w:pStyle w:val="BodyTextIndent"/>
        <w:tabs>
          <w:tab w:val="left" w:pos="1080"/>
          <w:tab w:val="left" w:pos="1800"/>
        </w:tabs>
        <w:ind w:left="1800"/>
        <w:jc w:val="both"/>
      </w:pPr>
    </w:p>
    <w:p w14:paraId="6E14C806" w14:textId="335FC02C" w:rsidR="002E34B6" w:rsidRDefault="0042397E" w:rsidP="002E34B6">
      <w:pPr>
        <w:pStyle w:val="BodyTextIndent"/>
        <w:tabs>
          <w:tab w:val="left" w:pos="1080"/>
          <w:tab w:val="left" w:pos="1800"/>
        </w:tabs>
        <w:ind w:left="1800"/>
        <w:jc w:val="both"/>
      </w:pPr>
      <w:r>
        <w:t>N</w:t>
      </w:r>
      <w:r w:rsidR="007E6F9B">
        <w:t>ortheastern</w:t>
      </w:r>
      <w:r w:rsidR="002E34B6">
        <w:t xml:space="preserve"> shall have available for review by the Department a copy of the manufacturer’s emission-related written instructions for engine operation and maintenance. [06-096 C.M.R. ch. 115, BPT]</w:t>
      </w:r>
    </w:p>
    <w:p w14:paraId="2E4A76A2" w14:textId="77777777" w:rsidR="00562F8B" w:rsidRDefault="00562F8B" w:rsidP="0073621B">
      <w:pPr>
        <w:pStyle w:val="BodyTextIndent"/>
        <w:tabs>
          <w:tab w:val="left" w:pos="1080"/>
          <w:tab w:val="left" w:pos="1800"/>
        </w:tabs>
        <w:ind w:left="0"/>
      </w:pPr>
    </w:p>
    <w:p w14:paraId="79B5E06B" w14:textId="77777777" w:rsidR="006846E7" w:rsidRDefault="006846E7" w:rsidP="00F73523">
      <w:pPr>
        <w:pStyle w:val="BodyTextIndent"/>
        <w:numPr>
          <w:ilvl w:val="0"/>
          <w:numId w:val="20"/>
        </w:numPr>
        <w:tabs>
          <w:tab w:val="left" w:pos="1080"/>
          <w:tab w:val="left" w:pos="1800"/>
        </w:tabs>
        <w:ind w:left="1800"/>
      </w:pPr>
      <w:r w:rsidRPr="00A27E14">
        <w:t>Annual Time Limit for Maintenance and Testing</w:t>
      </w:r>
    </w:p>
    <w:p w14:paraId="516F5238" w14:textId="7F6F5F59" w:rsidR="006846E7" w:rsidRDefault="00897797" w:rsidP="006846E7">
      <w:pPr>
        <w:pStyle w:val="BodyTextIndent"/>
        <w:tabs>
          <w:tab w:val="left" w:pos="1080"/>
          <w:tab w:val="left" w:pos="1800"/>
        </w:tabs>
        <w:ind w:left="1800"/>
        <w:jc w:val="both"/>
      </w:pPr>
      <w:r>
        <w:rPr>
          <w:szCs w:val="24"/>
        </w:rPr>
        <w:t>As emergency engine</w:t>
      </w:r>
      <w:r w:rsidR="0042397E">
        <w:rPr>
          <w:szCs w:val="24"/>
        </w:rPr>
        <w:t>s</w:t>
      </w:r>
      <w:r>
        <w:rPr>
          <w:szCs w:val="24"/>
        </w:rPr>
        <w:t>, the unit</w:t>
      </w:r>
      <w:r w:rsidR="0042397E">
        <w:rPr>
          <w:szCs w:val="24"/>
        </w:rPr>
        <w:t>s</w:t>
      </w:r>
      <w:r w:rsidRPr="005F008F">
        <w:rPr>
          <w:szCs w:val="24"/>
        </w:rPr>
        <w:t xml:space="preserve"> </w:t>
      </w:r>
      <w:r w:rsidR="006846E7" w:rsidRPr="00A27E14">
        <w:t xml:space="preserve">shall </w:t>
      </w:r>
      <w:r w:rsidR="0042397E">
        <w:t>each</w:t>
      </w:r>
      <w:r w:rsidR="006846E7" w:rsidRPr="00A27E14">
        <w:t xml:space="preserve"> be limited to 100 hours/year for maintenan</w:t>
      </w:r>
      <w:r w:rsidR="007A7D25">
        <w:t>ce checks and readiness testing</w:t>
      </w:r>
      <w:r w:rsidR="00013E2E">
        <w:t xml:space="preserve">. </w:t>
      </w:r>
      <w:r w:rsidR="006846E7" w:rsidRPr="00A27E14">
        <w:t>Up to 50</w:t>
      </w:r>
      <w:r w:rsidR="00F00FAC">
        <w:t> </w:t>
      </w:r>
      <w:r w:rsidR="006846E7" w:rsidRPr="00A27E14">
        <w:t xml:space="preserve">hours/year of the </w:t>
      </w:r>
      <w:r w:rsidR="006846E7" w:rsidRPr="00A27E14">
        <w:lastRenderedPageBreak/>
        <w:t>100</w:t>
      </w:r>
      <w:r w:rsidR="006B2F65">
        <w:t> </w:t>
      </w:r>
      <w:r w:rsidR="006846E7" w:rsidRPr="00A27E14">
        <w:t>hours/year may be used in non-emergency situations (this does not include peak shaving, demand response, or to generate income for a facility by providing power to an electric grid or otherwise supply power as part of a financial arrangement with another entity</w:t>
      </w:r>
      <w:r w:rsidR="007A7D25">
        <w:t>).</w:t>
      </w:r>
      <w:r w:rsidR="006846E7" w:rsidRPr="00A27E14">
        <w:t xml:space="preserve"> [40 C</w:t>
      </w:r>
      <w:r w:rsidR="003F7B6A">
        <w:t>.</w:t>
      </w:r>
      <w:r w:rsidR="006846E7" w:rsidRPr="00A27E14">
        <w:t>F</w:t>
      </w:r>
      <w:r w:rsidR="003F7B6A">
        <w:t>.</w:t>
      </w:r>
      <w:r w:rsidR="006846E7" w:rsidRPr="00A27E14">
        <w:t>R</w:t>
      </w:r>
      <w:r w:rsidR="003F7B6A">
        <w:t>.</w:t>
      </w:r>
      <w:r w:rsidR="006846E7" w:rsidRPr="00A27E14">
        <w:t xml:space="preserve"> §</w:t>
      </w:r>
      <w:r w:rsidR="003F7B6A">
        <w:t xml:space="preserve"> </w:t>
      </w:r>
      <w:r w:rsidR="006846E7" w:rsidRPr="00A27E14">
        <w:t>60.4211(f)]</w:t>
      </w:r>
    </w:p>
    <w:p w14:paraId="36B2172B" w14:textId="77777777" w:rsidR="0064570C" w:rsidRDefault="0064570C" w:rsidP="00AA440F">
      <w:pPr>
        <w:pStyle w:val="BodyTextIndent"/>
        <w:tabs>
          <w:tab w:val="left" w:pos="1080"/>
          <w:tab w:val="left" w:pos="1800"/>
        </w:tabs>
        <w:ind w:left="0"/>
      </w:pPr>
    </w:p>
    <w:p w14:paraId="692FAAE1" w14:textId="77777777" w:rsidR="006846E7" w:rsidRDefault="006846E7" w:rsidP="00F73523">
      <w:pPr>
        <w:pStyle w:val="BodyTextIndent"/>
        <w:numPr>
          <w:ilvl w:val="0"/>
          <w:numId w:val="20"/>
        </w:numPr>
        <w:tabs>
          <w:tab w:val="left" w:pos="1080"/>
          <w:tab w:val="left" w:pos="1800"/>
        </w:tabs>
        <w:ind w:left="1800"/>
      </w:pPr>
      <w:r w:rsidRPr="00A27E14">
        <w:t>Initial Notification Requirement</w:t>
      </w:r>
    </w:p>
    <w:p w14:paraId="64BB66E8" w14:textId="77777777" w:rsidR="006846E7" w:rsidRDefault="006846E7" w:rsidP="006846E7">
      <w:pPr>
        <w:pStyle w:val="BodyTextIndent"/>
        <w:tabs>
          <w:tab w:val="left" w:pos="1080"/>
          <w:tab w:val="left" w:pos="1800"/>
        </w:tabs>
        <w:ind w:left="1800" w:hanging="1080"/>
        <w:jc w:val="both"/>
      </w:pPr>
      <w:r>
        <w:tab/>
      </w:r>
      <w:r>
        <w:tab/>
      </w:r>
      <w:r w:rsidRPr="00A27E14">
        <w:t>No initial notification is r</w:t>
      </w:r>
      <w:r w:rsidR="00013E2E">
        <w:t xml:space="preserve">equired </w:t>
      </w:r>
      <w:r w:rsidR="00562F8B">
        <w:t xml:space="preserve">under </w:t>
      </w:r>
      <w:r w:rsidR="003F7B6A">
        <w:t xml:space="preserve">40 C.F.R. Part 60, </w:t>
      </w:r>
      <w:r w:rsidR="00562F8B">
        <w:t xml:space="preserve">Subpart IIII </w:t>
      </w:r>
      <w:r w:rsidR="00013E2E">
        <w:t xml:space="preserve">for emergency engines. </w:t>
      </w:r>
      <w:r w:rsidRPr="00A27E14">
        <w:t>[40</w:t>
      </w:r>
      <w:r w:rsidR="00F00FAC">
        <w:t> </w:t>
      </w:r>
      <w:r w:rsidRPr="00A27E14">
        <w:t>C</w:t>
      </w:r>
      <w:r w:rsidR="003F7B6A">
        <w:t>.</w:t>
      </w:r>
      <w:r w:rsidRPr="00A27E14">
        <w:t>F</w:t>
      </w:r>
      <w:r w:rsidR="003F7B6A">
        <w:t>.</w:t>
      </w:r>
      <w:r w:rsidRPr="00A27E14">
        <w:t>R</w:t>
      </w:r>
      <w:r w:rsidR="003F7B6A">
        <w:t>.</w:t>
      </w:r>
      <w:r w:rsidR="00F00FAC">
        <w:t> </w:t>
      </w:r>
      <w:r w:rsidRPr="00A27E14">
        <w:t>§</w:t>
      </w:r>
      <w:r w:rsidR="003F7B6A">
        <w:t xml:space="preserve"> </w:t>
      </w:r>
      <w:r w:rsidRPr="00A27E14">
        <w:t>60.4214(b)]</w:t>
      </w:r>
    </w:p>
    <w:p w14:paraId="0467C513" w14:textId="77777777" w:rsidR="006846E7" w:rsidRDefault="006846E7" w:rsidP="00F00FAC">
      <w:pPr>
        <w:pStyle w:val="BodyTextIndent"/>
        <w:tabs>
          <w:tab w:val="left" w:pos="1080"/>
          <w:tab w:val="left" w:pos="1800"/>
        </w:tabs>
        <w:ind w:left="1800" w:hanging="1080"/>
        <w:jc w:val="both"/>
      </w:pPr>
    </w:p>
    <w:p w14:paraId="1C0027DF" w14:textId="77777777" w:rsidR="006846E7" w:rsidRDefault="006846E7" w:rsidP="00F73523">
      <w:pPr>
        <w:pStyle w:val="ListParagraph"/>
        <w:numPr>
          <w:ilvl w:val="0"/>
          <w:numId w:val="20"/>
        </w:numPr>
        <w:tabs>
          <w:tab w:val="left" w:pos="1080"/>
        </w:tabs>
        <w:ind w:left="1800"/>
        <w:jc w:val="both"/>
        <w:rPr>
          <w:sz w:val="24"/>
          <w:szCs w:val="24"/>
        </w:rPr>
      </w:pPr>
      <w:r>
        <w:rPr>
          <w:sz w:val="24"/>
          <w:szCs w:val="24"/>
        </w:rPr>
        <w:t>Recordkeeping</w:t>
      </w:r>
    </w:p>
    <w:p w14:paraId="4D0651CE" w14:textId="6D4550DA" w:rsidR="002E34B6" w:rsidRDefault="0042397E" w:rsidP="00F00FAC">
      <w:pPr>
        <w:tabs>
          <w:tab w:val="left" w:pos="1080"/>
          <w:tab w:val="left" w:pos="1800"/>
        </w:tabs>
        <w:ind w:left="1800"/>
        <w:jc w:val="both"/>
        <w:rPr>
          <w:sz w:val="24"/>
          <w:szCs w:val="24"/>
        </w:rPr>
      </w:pPr>
      <w:r>
        <w:rPr>
          <w:sz w:val="24"/>
          <w:szCs w:val="24"/>
        </w:rPr>
        <w:t>N</w:t>
      </w:r>
      <w:r w:rsidR="007E6F9B">
        <w:rPr>
          <w:sz w:val="24"/>
          <w:szCs w:val="24"/>
        </w:rPr>
        <w:t>ortheastern</w:t>
      </w:r>
      <w:r w:rsidR="006846E7" w:rsidRPr="005F008F">
        <w:rPr>
          <w:sz w:val="24"/>
          <w:szCs w:val="24"/>
        </w:rPr>
        <w:t xml:space="preserve"> shall keep records that include the ho</w:t>
      </w:r>
      <w:r w:rsidR="006846E7">
        <w:rPr>
          <w:sz w:val="24"/>
          <w:szCs w:val="24"/>
        </w:rPr>
        <w:t xml:space="preserve">urs of operation of </w:t>
      </w:r>
      <w:r>
        <w:rPr>
          <w:sz w:val="24"/>
          <w:szCs w:val="24"/>
        </w:rPr>
        <w:t>each</w:t>
      </w:r>
      <w:r w:rsidR="006846E7">
        <w:rPr>
          <w:sz w:val="24"/>
          <w:szCs w:val="24"/>
        </w:rPr>
        <w:t xml:space="preserve"> engine</w:t>
      </w:r>
      <w:r w:rsidR="006846E7" w:rsidRPr="005F008F">
        <w:rPr>
          <w:sz w:val="24"/>
          <w:szCs w:val="24"/>
        </w:rPr>
        <w:t xml:space="preserve"> recorded through the non-resettable hour meter. </w:t>
      </w:r>
      <w:r w:rsidR="007A7D25">
        <w:rPr>
          <w:sz w:val="24"/>
          <w:szCs w:val="24"/>
        </w:rPr>
        <w:t xml:space="preserve">Documentation shall include the number of hours </w:t>
      </w:r>
      <w:r>
        <w:rPr>
          <w:sz w:val="24"/>
          <w:szCs w:val="24"/>
        </w:rPr>
        <w:t>each</w:t>
      </w:r>
      <w:r w:rsidR="00F96D0E">
        <w:rPr>
          <w:sz w:val="24"/>
          <w:szCs w:val="24"/>
        </w:rPr>
        <w:t xml:space="preserve"> </w:t>
      </w:r>
      <w:r w:rsidR="007A7D25">
        <w:rPr>
          <w:sz w:val="24"/>
          <w:szCs w:val="24"/>
        </w:rPr>
        <w:t xml:space="preserve">unit operated for emergency purposes, the number of hours </w:t>
      </w:r>
      <w:r>
        <w:rPr>
          <w:sz w:val="24"/>
          <w:szCs w:val="24"/>
        </w:rPr>
        <w:t>each</w:t>
      </w:r>
      <w:r w:rsidR="00F96D0E">
        <w:rPr>
          <w:sz w:val="24"/>
          <w:szCs w:val="24"/>
        </w:rPr>
        <w:t xml:space="preserve"> </w:t>
      </w:r>
      <w:r w:rsidR="007A7D25">
        <w:rPr>
          <w:sz w:val="24"/>
          <w:szCs w:val="24"/>
        </w:rPr>
        <w:t xml:space="preserve">unit operated for non-emergency purposes, and the reason </w:t>
      </w:r>
      <w:r>
        <w:rPr>
          <w:sz w:val="24"/>
          <w:szCs w:val="24"/>
        </w:rPr>
        <w:t>each</w:t>
      </w:r>
      <w:r w:rsidR="00F96D0E">
        <w:rPr>
          <w:sz w:val="24"/>
          <w:szCs w:val="24"/>
        </w:rPr>
        <w:t xml:space="preserve"> </w:t>
      </w:r>
      <w:r w:rsidR="007A7D25">
        <w:rPr>
          <w:sz w:val="24"/>
          <w:szCs w:val="24"/>
        </w:rPr>
        <w:t xml:space="preserve">engine was in operation during each time. </w:t>
      </w:r>
    </w:p>
    <w:p w14:paraId="067D23BB" w14:textId="77777777" w:rsidR="006846E7" w:rsidRDefault="006846E7" w:rsidP="00F00FAC">
      <w:pPr>
        <w:tabs>
          <w:tab w:val="left" w:pos="1080"/>
          <w:tab w:val="left" w:pos="1800"/>
        </w:tabs>
        <w:ind w:left="1800"/>
        <w:jc w:val="both"/>
        <w:rPr>
          <w:sz w:val="24"/>
          <w:szCs w:val="24"/>
        </w:rPr>
      </w:pPr>
      <w:r>
        <w:rPr>
          <w:sz w:val="24"/>
          <w:szCs w:val="24"/>
        </w:rPr>
        <w:t>[40</w:t>
      </w:r>
      <w:r w:rsidR="00F00FAC">
        <w:rPr>
          <w:sz w:val="24"/>
          <w:szCs w:val="24"/>
        </w:rPr>
        <w:t> </w:t>
      </w:r>
      <w:r>
        <w:rPr>
          <w:sz w:val="24"/>
          <w:szCs w:val="24"/>
        </w:rPr>
        <w:t>C</w:t>
      </w:r>
      <w:r w:rsidR="003F7B6A">
        <w:rPr>
          <w:sz w:val="24"/>
          <w:szCs w:val="24"/>
        </w:rPr>
        <w:t>.</w:t>
      </w:r>
      <w:r>
        <w:rPr>
          <w:sz w:val="24"/>
          <w:szCs w:val="24"/>
        </w:rPr>
        <w:t>F</w:t>
      </w:r>
      <w:r w:rsidR="003F7B6A">
        <w:rPr>
          <w:sz w:val="24"/>
          <w:szCs w:val="24"/>
        </w:rPr>
        <w:t>.</w:t>
      </w:r>
      <w:r>
        <w:rPr>
          <w:sz w:val="24"/>
          <w:szCs w:val="24"/>
        </w:rPr>
        <w:t>R</w:t>
      </w:r>
      <w:r w:rsidR="003F7B6A">
        <w:rPr>
          <w:sz w:val="24"/>
          <w:szCs w:val="24"/>
        </w:rPr>
        <w:t>.</w:t>
      </w:r>
      <w:r w:rsidR="00F00FAC">
        <w:rPr>
          <w:sz w:val="24"/>
          <w:szCs w:val="24"/>
        </w:rPr>
        <w:t> </w:t>
      </w:r>
      <w:r>
        <w:rPr>
          <w:sz w:val="24"/>
          <w:szCs w:val="24"/>
        </w:rPr>
        <w:t>§</w:t>
      </w:r>
      <w:r w:rsidR="003F7B6A">
        <w:rPr>
          <w:sz w:val="24"/>
          <w:szCs w:val="24"/>
        </w:rPr>
        <w:t xml:space="preserve"> </w:t>
      </w:r>
      <w:r>
        <w:rPr>
          <w:sz w:val="24"/>
          <w:szCs w:val="24"/>
        </w:rPr>
        <w:t>60.4214(b)</w:t>
      </w:r>
      <w:r w:rsidRPr="005F008F">
        <w:rPr>
          <w:sz w:val="24"/>
          <w:szCs w:val="24"/>
        </w:rPr>
        <w:t>]</w:t>
      </w:r>
      <w:r w:rsidR="00F00FAC">
        <w:rPr>
          <w:sz w:val="24"/>
          <w:szCs w:val="24"/>
        </w:rPr>
        <w:t xml:space="preserve">  </w:t>
      </w:r>
    </w:p>
    <w:p w14:paraId="09D072E3" w14:textId="77777777" w:rsidR="007350F1" w:rsidRDefault="007350F1" w:rsidP="00F00FAC">
      <w:pPr>
        <w:tabs>
          <w:tab w:val="left" w:pos="1080"/>
          <w:tab w:val="left" w:pos="1800"/>
        </w:tabs>
        <w:ind w:left="1800"/>
        <w:jc w:val="both"/>
        <w:rPr>
          <w:sz w:val="24"/>
          <w:szCs w:val="24"/>
        </w:rPr>
      </w:pPr>
    </w:p>
    <w:p w14:paraId="0FE4FAB6" w14:textId="3375E62F" w:rsidR="007350F1" w:rsidRPr="00F00FAC" w:rsidRDefault="007350F1" w:rsidP="007350F1">
      <w:pPr>
        <w:tabs>
          <w:tab w:val="left" w:pos="1080"/>
          <w:tab w:val="left" w:pos="1800"/>
        </w:tabs>
        <w:ind w:left="1800"/>
        <w:jc w:val="both"/>
        <w:rPr>
          <w:sz w:val="24"/>
          <w:szCs w:val="24"/>
        </w:rPr>
      </w:pPr>
      <w:r w:rsidRPr="00FE3425">
        <w:rPr>
          <w:sz w:val="24"/>
        </w:rPr>
        <w:t>For simplicity, the recordkeeping described above is streamlined with the more stringent recordkeeping required to demonstrate compliance with 06</w:t>
      </w:r>
      <w:r w:rsidRPr="00FE3425">
        <w:rPr>
          <w:sz w:val="24"/>
        </w:rPr>
        <w:noBreakHyphen/>
        <w:t xml:space="preserve">096 C.M.R. ch. 169. The standards themselves are not being streamlined, only the recordkeeping required for compliance demonstration. Therefore, </w:t>
      </w:r>
      <w:r w:rsidR="0042397E">
        <w:rPr>
          <w:sz w:val="24"/>
        </w:rPr>
        <w:t>N</w:t>
      </w:r>
      <w:r w:rsidR="007E6F9B">
        <w:rPr>
          <w:sz w:val="24"/>
        </w:rPr>
        <w:t>ortheastern</w:t>
      </w:r>
      <w:r w:rsidRPr="00FE3425">
        <w:rPr>
          <w:sz w:val="24"/>
        </w:rPr>
        <w:t xml:space="preserve"> shall maintain records of engine operating times on a 12-month rolling total basis. The 12-month rolling total encompassing January through December of each </w:t>
      </w:r>
      <w:r w:rsidR="00E9115A">
        <w:rPr>
          <w:sz w:val="24"/>
        </w:rPr>
        <w:t xml:space="preserve">calendar </w:t>
      </w:r>
      <w:r w:rsidRPr="00FE3425">
        <w:rPr>
          <w:sz w:val="24"/>
        </w:rPr>
        <w:t>year shall be used to demonstrate compliance with the annual time limit for maintenance and testing pursuant to 40 C.F.R. §</w:t>
      </w:r>
      <w:r w:rsidR="00E9115A">
        <w:rPr>
          <w:sz w:val="24"/>
        </w:rPr>
        <w:t> 60.4211(f)</w:t>
      </w:r>
      <w:r w:rsidRPr="00FE3425">
        <w:rPr>
          <w:sz w:val="24"/>
        </w:rPr>
        <w:t xml:space="preserve"> as described above.</w:t>
      </w:r>
    </w:p>
    <w:p w14:paraId="5E72CC57" w14:textId="77777777" w:rsidR="0064570C" w:rsidRDefault="0064570C" w:rsidP="0075539E">
      <w:pPr>
        <w:tabs>
          <w:tab w:val="left" w:pos="720"/>
          <w:tab w:val="left" w:pos="1080"/>
        </w:tabs>
        <w:jc w:val="both"/>
        <w:rPr>
          <w:sz w:val="24"/>
          <w:szCs w:val="24"/>
        </w:rPr>
      </w:pPr>
    </w:p>
    <w:p w14:paraId="75161698" w14:textId="0B4A3D2F" w:rsidR="006846E7" w:rsidRPr="00907DB2" w:rsidRDefault="002010E5" w:rsidP="005813FB">
      <w:pPr>
        <w:pStyle w:val="Heading5"/>
        <w:jc w:val="both"/>
      </w:pPr>
      <w:r>
        <w:t>N</w:t>
      </w:r>
      <w:r w:rsidR="008276A1">
        <w:t>ational Emission Standards for Hazardous Air Pollutants (NESHAP): 40 C.F.R. Part 63, Subpart ZZZZ</w:t>
      </w:r>
    </w:p>
    <w:p w14:paraId="6B6DC21F" w14:textId="77777777" w:rsidR="006846E7" w:rsidRDefault="006846E7" w:rsidP="005813FB">
      <w:pPr>
        <w:pStyle w:val="BodyTextIndent"/>
        <w:ind w:left="1080"/>
        <w:jc w:val="both"/>
        <w:rPr>
          <w:szCs w:val="24"/>
        </w:rPr>
      </w:pPr>
    </w:p>
    <w:p w14:paraId="56BDF79F" w14:textId="53F681E9" w:rsidR="00727AA3" w:rsidRDefault="008276A1" w:rsidP="005813FB">
      <w:pPr>
        <w:pStyle w:val="BodyTextIndent"/>
        <w:tabs>
          <w:tab w:val="left" w:pos="1080"/>
        </w:tabs>
        <w:ind w:left="1080"/>
        <w:jc w:val="both"/>
      </w:pPr>
      <w:r>
        <w:t>Pursuant to 40 C.F.R. § 63.6590(c), stationary combustion ignition engines subject to the regulations under</w:t>
      </w:r>
      <w:r w:rsidR="006846E7" w:rsidRPr="00727AA3">
        <w:t xml:space="preserve"> </w:t>
      </w:r>
      <w:r w:rsidR="005C0DFB">
        <w:t xml:space="preserve">40 C.F.R. Part 60, </w:t>
      </w:r>
      <w:r w:rsidR="006846E7" w:rsidRPr="00727AA3">
        <w:t xml:space="preserve">Subpart </w:t>
      </w:r>
      <w:r>
        <w:t xml:space="preserve">IIII must meet the requirements of Subpart ZZZZ by meeting the requirements of 40 C.F.R. Part 60, </w:t>
      </w:r>
      <w:r w:rsidRPr="00E5534A">
        <w:t xml:space="preserve">Subpart </w:t>
      </w:r>
      <w:r w:rsidR="005813FB" w:rsidRPr="00E5534A">
        <w:t>IIII</w:t>
      </w:r>
      <w:r w:rsidRPr="00E5534A">
        <w:t xml:space="preserve">. No further requirements apply for such engines under </w:t>
      </w:r>
      <w:r w:rsidR="006846E7" w:rsidRPr="00E5534A">
        <w:t xml:space="preserve">Subpart ZZZZ. </w:t>
      </w:r>
      <w:r w:rsidR="00727AA3" w:rsidRPr="00E5534A">
        <w:t>[40</w:t>
      </w:r>
      <w:r w:rsidR="00727AA3">
        <w:t> </w:t>
      </w:r>
      <w:r w:rsidR="00727AA3" w:rsidRPr="009B5C95">
        <w:t>C</w:t>
      </w:r>
      <w:r w:rsidR="005C0DFB">
        <w:t>.</w:t>
      </w:r>
      <w:r w:rsidR="00727AA3" w:rsidRPr="009B5C95">
        <w:t>F</w:t>
      </w:r>
      <w:r w:rsidR="005C0DFB">
        <w:t>.</w:t>
      </w:r>
      <w:r w:rsidR="00727AA3" w:rsidRPr="009B5C95">
        <w:t>R</w:t>
      </w:r>
      <w:r w:rsidR="005C0DFB">
        <w:t>.</w:t>
      </w:r>
      <w:r w:rsidR="00727AA3" w:rsidRPr="009B5C95">
        <w:t xml:space="preserve"> §</w:t>
      </w:r>
      <w:r w:rsidR="005C0DFB">
        <w:t> </w:t>
      </w:r>
      <w:r w:rsidR="00727AA3" w:rsidRPr="009B5C95">
        <w:t>63.6590(c)]</w:t>
      </w:r>
    </w:p>
    <w:p w14:paraId="51C738EF" w14:textId="77777777" w:rsidR="00562F8B" w:rsidRPr="00912A74" w:rsidRDefault="00562F8B" w:rsidP="006846E7">
      <w:pPr>
        <w:autoSpaceDE w:val="0"/>
        <w:autoSpaceDN w:val="0"/>
        <w:adjustRightInd w:val="0"/>
        <w:ind w:left="1440"/>
        <w:jc w:val="both"/>
        <w:rPr>
          <w:sz w:val="24"/>
          <w:szCs w:val="24"/>
          <w:u w:val="single"/>
        </w:rPr>
      </w:pPr>
    </w:p>
    <w:p w14:paraId="0489268C" w14:textId="77777777" w:rsidR="007A2C8C" w:rsidRDefault="007A2C8C" w:rsidP="007A2C8C">
      <w:pPr>
        <w:pStyle w:val="Heading3"/>
      </w:pPr>
      <w:bookmarkStart w:id="6" w:name="_Hlk146720912"/>
      <w:r>
        <w:t>Fugitive Emissions</w:t>
      </w:r>
    </w:p>
    <w:p w14:paraId="1C988794" w14:textId="77777777" w:rsidR="007A2C8C" w:rsidRDefault="007A2C8C" w:rsidP="007A2C8C">
      <w:pPr>
        <w:ind w:left="720"/>
        <w:jc w:val="both"/>
        <w:rPr>
          <w:sz w:val="24"/>
        </w:rPr>
      </w:pPr>
    </w:p>
    <w:p w14:paraId="2295ED84" w14:textId="6613AA50" w:rsidR="00857B52" w:rsidRPr="00857B52" w:rsidRDefault="008276A1"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7" w:name="_Hlk146786548"/>
      <w:r>
        <w:rPr>
          <w:szCs w:val="24"/>
        </w:rPr>
        <w:t>N</w:t>
      </w:r>
      <w:r w:rsidR="007E6F9B">
        <w:rPr>
          <w:szCs w:val="24"/>
        </w:rPr>
        <w:t>ortheastern</w:t>
      </w:r>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See 06-096 C.M.R. ch. 101, § 4(C) for a list of potential reasonable precautions.</w:t>
      </w:r>
    </w:p>
    <w:p w14:paraId="6CC5B5FF"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77E3D7B1" w14:textId="4ECFCC11" w:rsidR="007A2C8C" w:rsidRPr="00857B52" w:rsidRDefault="008276A1" w:rsidP="00857B52">
      <w:pPr>
        <w:ind w:left="720"/>
        <w:jc w:val="both"/>
        <w:rPr>
          <w:sz w:val="24"/>
          <w:szCs w:val="24"/>
        </w:rPr>
      </w:pPr>
      <w:r>
        <w:rPr>
          <w:sz w:val="24"/>
          <w:szCs w:val="24"/>
        </w:rPr>
        <w:lastRenderedPageBreak/>
        <w:t>N</w:t>
      </w:r>
      <w:r w:rsidR="007E6F9B">
        <w:rPr>
          <w:sz w:val="24"/>
          <w:szCs w:val="24"/>
        </w:rPr>
        <w:t>ortheastern</w:t>
      </w:r>
      <w:r w:rsidR="00857B52" w:rsidRPr="00857B52">
        <w:rPr>
          <w:sz w:val="24"/>
          <w:szCs w:val="24"/>
        </w:rPr>
        <w:t xml:space="preserve"> </w:t>
      </w:r>
      <w:proofErr w:type="gramStart"/>
      <w:r w:rsidR="00857B52" w:rsidRPr="007F38E6">
        <w:rPr>
          <w:sz w:val="24"/>
          <w:szCs w:val="24"/>
        </w:rPr>
        <w:t>shall</w:t>
      </w:r>
      <w:proofErr w:type="gramEnd"/>
      <w:r w:rsidR="00857B52" w:rsidRPr="007F38E6">
        <w:rPr>
          <w:sz w:val="24"/>
          <w:szCs w:val="24"/>
        </w:rPr>
        <w:t xml:space="preserve">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7"/>
    <w:p w14:paraId="7AD69C68" w14:textId="77777777" w:rsidR="00604DA8" w:rsidRDefault="00604DA8" w:rsidP="00604DA8">
      <w:pPr>
        <w:ind w:left="720"/>
        <w:jc w:val="both"/>
        <w:rPr>
          <w:sz w:val="24"/>
        </w:rPr>
      </w:pPr>
    </w:p>
    <w:bookmarkEnd w:id="6"/>
    <w:p w14:paraId="5504F3A6" w14:textId="77777777" w:rsidR="00C730BB" w:rsidRDefault="00044AA4" w:rsidP="0075539E">
      <w:pPr>
        <w:pStyle w:val="Heading3"/>
      </w:pPr>
      <w:r>
        <w:t xml:space="preserve">Annual Emissions </w:t>
      </w:r>
    </w:p>
    <w:p w14:paraId="3A03FB00" w14:textId="77777777" w:rsidR="00902B8C" w:rsidRDefault="00902B8C" w:rsidP="00902B8C">
      <w:pPr>
        <w:tabs>
          <w:tab w:val="left" w:pos="720"/>
          <w:tab w:val="left" w:pos="1080"/>
        </w:tabs>
        <w:ind w:left="720" w:hanging="720"/>
        <w:jc w:val="both"/>
        <w:rPr>
          <w:sz w:val="24"/>
          <w:szCs w:val="24"/>
        </w:rPr>
      </w:pPr>
    </w:p>
    <w:p w14:paraId="140AAEF6" w14:textId="77777777" w:rsidR="00C22EA6"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Maximum potential emissions were calculated based on</w:t>
      </w:r>
      <w:r w:rsidR="00C22EA6">
        <w:rPr>
          <w:sz w:val="24"/>
          <w:szCs w:val="24"/>
        </w:rPr>
        <w:t xml:space="preserve"> the following:</w:t>
      </w:r>
      <w:r w:rsidRPr="00201C5F">
        <w:rPr>
          <w:sz w:val="24"/>
          <w:szCs w:val="24"/>
        </w:rPr>
        <w:t xml:space="preserve"> </w:t>
      </w:r>
    </w:p>
    <w:p w14:paraId="188AC999" w14:textId="77777777" w:rsidR="00C22EA6" w:rsidRDefault="000F7937" w:rsidP="00C22EA6">
      <w:pPr>
        <w:pStyle w:val="ListParagraph"/>
        <w:numPr>
          <w:ilvl w:val="0"/>
          <w:numId w:val="123"/>
        </w:numPr>
        <w:jc w:val="both"/>
        <w:rPr>
          <w:sz w:val="24"/>
          <w:szCs w:val="24"/>
        </w:rPr>
      </w:pPr>
      <w:r w:rsidRPr="00C22EA6">
        <w:rPr>
          <w:sz w:val="24"/>
          <w:szCs w:val="24"/>
        </w:rPr>
        <w:t>operating Generator</w:t>
      </w:r>
      <w:r w:rsidR="00053CC2" w:rsidRPr="00C22EA6">
        <w:rPr>
          <w:sz w:val="24"/>
          <w:szCs w:val="24"/>
        </w:rPr>
        <w:t xml:space="preserve"> </w:t>
      </w:r>
      <w:r w:rsidRPr="00C22EA6">
        <w:rPr>
          <w:sz w:val="24"/>
          <w:szCs w:val="24"/>
        </w:rPr>
        <w:t>#2 for 100 hours</w:t>
      </w:r>
      <w:r w:rsidR="00622542" w:rsidRPr="00C22EA6">
        <w:rPr>
          <w:sz w:val="24"/>
          <w:szCs w:val="24"/>
        </w:rPr>
        <w:t xml:space="preserve"> per year</w:t>
      </w:r>
      <w:r w:rsidRPr="00C22EA6">
        <w:rPr>
          <w:sz w:val="24"/>
          <w:szCs w:val="24"/>
        </w:rPr>
        <w:t xml:space="preserve"> of non</w:t>
      </w:r>
      <w:r w:rsidR="00622542" w:rsidRPr="00C22EA6">
        <w:rPr>
          <w:sz w:val="24"/>
          <w:szCs w:val="24"/>
        </w:rPr>
        <w:noBreakHyphen/>
      </w:r>
      <w:r w:rsidRPr="00C22EA6">
        <w:rPr>
          <w:sz w:val="24"/>
          <w:szCs w:val="24"/>
        </w:rPr>
        <w:t>emergency use</w:t>
      </w:r>
      <w:r w:rsidR="00C22EA6">
        <w:rPr>
          <w:sz w:val="24"/>
          <w:szCs w:val="24"/>
        </w:rPr>
        <w:t>;</w:t>
      </w:r>
      <w:r w:rsidRPr="00C22EA6">
        <w:rPr>
          <w:sz w:val="24"/>
          <w:szCs w:val="24"/>
        </w:rPr>
        <w:t xml:space="preserve"> </w:t>
      </w:r>
      <w:r w:rsidR="00053CC2" w:rsidRPr="00C22EA6">
        <w:rPr>
          <w:sz w:val="24"/>
          <w:szCs w:val="24"/>
        </w:rPr>
        <w:t xml:space="preserve">and </w:t>
      </w:r>
    </w:p>
    <w:p w14:paraId="7F4CC1ED" w14:textId="373BD962" w:rsidR="004970E8" w:rsidRPr="00C22EA6" w:rsidRDefault="00C22EA6" w:rsidP="00C22EA6">
      <w:pPr>
        <w:pStyle w:val="ListParagraph"/>
        <w:numPr>
          <w:ilvl w:val="0"/>
          <w:numId w:val="123"/>
        </w:numPr>
        <w:jc w:val="both"/>
        <w:rPr>
          <w:sz w:val="24"/>
          <w:szCs w:val="24"/>
        </w:rPr>
      </w:pPr>
      <w:r>
        <w:rPr>
          <w:sz w:val="24"/>
          <w:szCs w:val="24"/>
        </w:rPr>
        <w:t xml:space="preserve">operating </w:t>
      </w:r>
      <w:r w:rsidR="00053CC2" w:rsidRPr="00C22EA6">
        <w:rPr>
          <w:sz w:val="24"/>
          <w:szCs w:val="24"/>
        </w:rPr>
        <w:t>Generator #1 for 500</w:t>
      </w:r>
      <w:r w:rsidR="00622542" w:rsidRPr="00C22EA6">
        <w:rPr>
          <w:sz w:val="24"/>
          <w:szCs w:val="24"/>
        </w:rPr>
        <w:t xml:space="preserve"> hours per year</w:t>
      </w:r>
      <w:r w:rsidR="000F7937" w:rsidRPr="00C22EA6">
        <w:rPr>
          <w:sz w:val="24"/>
          <w:szCs w:val="24"/>
        </w:rPr>
        <w:t>.</w:t>
      </w:r>
      <w:r w:rsidR="004970E8" w:rsidRPr="00C22EA6">
        <w:rPr>
          <w:sz w:val="24"/>
          <w:szCs w:val="24"/>
        </w:rPr>
        <w:t xml:space="preserve"> </w:t>
      </w:r>
    </w:p>
    <w:p w14:paraId="40E9FB52" w14:textId="77777777" w:rsidR="000F7937" w:rsidRPr="00201C5F" w:rsidRDefault="000F7937" w:rsidP="004970E8">
      <w:pPr>
        <w:ind w:left="720"/>
        <w:jc w:val="both"/>
        <w:rPr>
          <w:sz w:val="24"/>
          <w:szCs w:val="24"/>
        </w:rPr>
      </w:pPr>
    </w:p>
    <w:p w14:paraId="691310CD"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1B787040" w14:textId="77777777" w:rsidR="00201C5F" w:rsidRDefault="00201C5F" w:rsidP="00E65D72">
      <w:pPr>
        <w:jc w:val="both"/>
      </w:pPr>
    </w:p>
    <w:p w14:paraId="767710AD" w14:textId="77777777" w:rsidR="00E65D72" w:rsidRPr="008155F0" w:rsidRDefault="00E65D72" w:rsidP="008155F0">
      <w:pPr>
        <w:jc w:val="center"/>
        <w:rPr>
          <w:b/>
          <w:sz w:val="24"/>
        </w:rPr>
      </w:pPr>
      <w:r w:rsidRPr="008155F0">
        <w:rPr>
          <w:b/>
          <w:sz w:val="24"/>
        </w:rPr>
        <w:t>Total Licensed Annual Emissions for the Facility</w:t>
      </w:r>
    </w:p>
    <w:p w14:paraId="50C7BD59" w14:textId="77777777" w:rsidR="00E65D72" w:rsidRPr="008155F0" w:rsidRDefault="00E65D72" w:rsidP="008155F0">
      <w:pPr>
        <w:jc w:val="center"/>
        <w:rPr>
          <w:b/>
          <w:sz w:val="24"/>
        </w:rPr>
      </w:pPr>
      <w:r w:rsidRPr="008155F0">
        <w:rPr>
          <w:b/>
          <w:sz w:val="24"/>
        </w:rPr>
        <w:t>Tons/year</w:t>
      </w:r>
    </w:p>
    <w:p w14:paraId="19B7ECF4" w14:textId="77777777" w:rsidR="00E65D72" w:rsidRPr="00D57676" w:rsidRDefault="00E65D72" w:rsidP="00E65D72">
      <w:pPr>
        <w:jc w:val="center"/>
        <w:rPr>
          <w:sz w:val="24"/>
          <w:szCs w:val="24"/>
        </w:rPr>
      </w:pPr>
      <w:r w:rsidRPr="00D57676">
        <w:rPr>
          <w:sz w:val="24"/>
          <w:szCs w:val="24"/>
        </w:rPr>
        <w:t>(used to calculate the annual license fee)</w:t>
      </w:r>
    </w:p>
    <w:p w14:paraId="400A1C84"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0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945"/>
        <w:gridCol w:w="945"/>
        <w:gridCol w:w="945"/>
        <w:gridCol w:w="945"/>
        <w:gridCol w:w="945"/>
        <w:gridCol w:w="945"/>
        <w:gridCol w:w="945"/>
      </w:tblGrid>
      <w:tr w:rsidR="00DB2DFD" w:rsidRPr="00797414" w14:paraId="07AA2E6A" w14:textId="77777777" w:rsidTr="00825C48">
        <w:trPr>
          <w:trHeight w:val="56"/>
          <w:tblHeader/>
          <w:jc w:val="center"/>
        </w:trPr>
        <w:tc>
          <w:tcPr>
            <w:tcW w:w="1440" w:type="dxa"/>
            <w:shd w:val="clear" w:color="auto" w:fill="D9D9D9" w:themeFill="background1" w:themeFillShade="D9"/>
            <w:vAlign w:val="bottom"/>
          </w:tcPr>
          <w:p w14:paraId="5EF4BF8E"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6E658EFD"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492B690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2169521E"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60800630"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2A7A4F9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314CC3ED"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6905340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0F7937" w14:paraId="0C69F568" w14:textId="77777777" w:rsidTr="00825C48">
        <w:trPr>
          <w:trHeight w:val="285"/>
          <w:jc w:val="center"/>
        </w:trPr>
        <w:tc>
          <w:tcPr>
            <w:tcW w:w="1440" w:type="dxa"/>
            <w:vAlign w:val="center"/>
          </w:tcPr>
          <w:p w14:paraId="26C356A0" w14:textId="6070B1AC"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#1</w:t>
            </w:r>
          </w:p>
        </w:tc>
        <w:tc>
          <w:tcPr>
            <w:tcW w:w="945" w:type="dxa"/>
            <w:vAlign w:val="center"/>
          </w:tcPr>
          <w:p w14:paraId="2EDF01DB" w14:textId="2B4817D7"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622542">
              <w:rPr>
                <w:sz w:val="22"/>
                <w:szCs w:val="22"/>
              </w:rPr>
              <w:t>3</w:t>
            </w:r>
          </w:p>
        </w:tc>
        <w:tc>
          <w:tcPr>
            <w:tcW w:w="945" w:type="dxa"/>
            <w:vAlign w:val="center"/>
          </w:tcPr>
          <w:p w14:paraId="3C56FE35" w14:textId="057DD630"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622542">
              <w:rPr>
                <w:sz w:val="22"/>
                <w:szCs w:val="22"/>
              </w:rPr>
              <w:t>3</w:t>
            </w:r>
          </w:p>
        </w:tc>
        <w:tc>
          <w:tcPr>
            <w:tcW w:w="945" w:type="dxa"/>
            <w:vAlign w:val="center"/>
          </w:tcPr>
          <w:p w14:paraId="70631450" w14:textId="4848C2F2"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622542">
              <w:rPr>
                <w:sz w:val="22"/>
                <w:szCs w:val="22"/>
              </w:rPr>
              <w:t>3</w:t>
            </w:r>
          </w:p>
        </w:tc>
        <w:tc>
          <w:tcPr>
            <w:tcW w:w="945" w:type="dxa"/>
            <w:vAlign w:val="center"/>
          </w:tcPr>
          <w:p w14:paraId="240F31D5" w14:textId="0C11C3FB"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5F77A17" w14:textId="2C1A939E" w:rsidR="000F7937" w:rsidRPr="00A929E3" w:rsidRDefault="00622542"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7.9</w:t>
            </w:r>
          </w:p>
        </w:tc>
        <w:tc>
          <w:tcPr>
            <w:tcW w:w="945" w:type="dxa"/>
            <w:vAlign w:val="center"/>
          </w:tcPr>
          <w:p w14:paraId="3213A9A9" w14:textId="790F211B" w:rsidR="000F7937" w:rsidRPr="00A929E3" w:rsidRDefault="00622542"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2.1</w:t>
            </w:r>
          </w:p>
        </w:tc>
        <w:tc>
          <w:tcPr>
            <w:tcW w:w="945" w:type="dxa"/>
            <w:vAlign w:val="center"/>
          </w:tcPr>
          <w:p w14:paraId="3760820D" w14:textId="75294520" w:rsidR="000F7937" w:rsidRPr="00A929E3" w:rsidRDefault="00622542"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r>
      <w:tr w:rsidR="000F7937" w14:paraId="1907CCEB" w14:textId="77777777" w:rsidTr="00825C48">
        <w:trPr>
          <w:trHeight w:val="285"/>
          <w:jc w:val="center"/>
        </w:trPr>
        <w:tc>
          <w:tcPr>
            <w:tcW w:w="1440" w:type="dxa"/>
            <w:vAlign w:val="center"/>
          </w:tcPr>
          <w:p w14:paraId="57F85199" w14:textId="2F6AEAEB"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Generator #</w:t>
            </w:r>
            <w:r>
              <w:rPr>
                <w:sz w:val="22"/>
                <w:szCs w:val="22"/>
              </w:rPr>
              <w:t>2</w:t>
            </w:r>
          </w:p>
        </w:tc>
        <w:tc>
          <w:tcPr>
            <w:tcW w:w="945" w:type="dxa"/>
            <w:vAlign w:val="center"/>
          </w:tcPr>
          <w:p w14:paraId="6C5F4AF9" w14:textId="3CBBEB59"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ECC1DFB" w14:textId="10409492"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7A6F2D7" w14:textId="18905359"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ABECE9C" w14:textId="73DA3A8C"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50932D5" w14:textId="2AEFA201"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4CEFC81B" w14:textId="13DE908B"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5DC8C87" w14:textId="5C5BDF63"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0F7937" w14:paraId="504E05D4" w14:textId="77777777" w:rsidTr="00825C48">
        <w:trPr>
          <w:trHeight w:val="285"/>
          <w:jc w:val="center"/>
        </w:trPr>
        <w:tc>
          <w:tcPr>
            <w:tcW w:w="1440" w:type="dxa"/>
            <w:tcBorders>
              <w:top w:val="single" w:sz="12" w:space="0" w:color="auto"/>
              <w:bottom w:val="double" w:sz="4" w:space="0" w:color="auto"/>
            </w:tcBorders>
          </w:tcPr>
          <w:p w14:paraId="0D75FCA3" w14:textId="77777777"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945" w:type="dxa"/>
            <w:tcBorders>
              <w:top w:val="single" w:sz="12" w:space="0" w:color="auto"/>
              <w:bottom w:val="double" w:sz="4" w:space="0" w:color="auto"/>
            </w:tcBorders>
            <w:vAlign w:val="center"/>
          </w:tcPr>
          <w:p w14:paraId="0269C186" w14:textId="2AD5C10E"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E42E49">
              <w:rPr>
                <w:b/>
                <w:sz w:val="22"/>
                <w:szCs w:val="22"/>
              </w:rPr>
              <w:t>3</w:t>
            </w:r>
          </w:p>
        </w:tc>
        <w:tc>
          <w:tcPr>
            <w:tcW w:w="945" w:type="dxa"/>
            <w:tcBorders>
              <w:top w:val="single" w:sz="12" w:space="0" w:color="auto"/>
              <w:bottom w:val="double" w:sz="4" w:space="0" w:color="auto"/>
            </w:tcBorders>
            <w:vAlign w:val="center"/>
          </w:tcPr>
          <w:p w14:paraId="2E31F005" w14:textId="7A6D9285"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622542">
              <w:rPr>
                <w:b/>
                <w:sz w:val="22"/>
                <w:szCs w:val="22"/>
              </w:rPr>
              <w:t>3</w:t>
            </w:r>
          </w:p>
        </w:tc>
        <w:tc>
          <w:tcPr>
            <w:tcW w:w="945" w:type="dxa"/>
            <w:tcBorders>
              <w:top w:val="single" w:sz="12" w:space="0" w:color="auto"/>
              <w:bottom w:val="double" w:sz="4" w:space="0" w:color="auto"/>
            </w:tcBorders>
            <w:vAlign w:val="center"/>
          </w:tcPr>
          <w:p w14:paraId="4CD1CE74" w14:textId="4896A22B"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622542">
              <w:rPr>
                <w:b/>
                <w:sz w:val="22"/>
                <w:szCs w:val="22"/>
              </w:rPr>
              <w:t>3</w:t>
            </w:r>
          </w:p>
        </w:tc>
        <w:tc>
          <w:tcPr>
            <w:tcW w:w="945" w:type="dxa"/>
            <w:tcBorders>
              <w:top w:val="single" w:sz="12" w:space="0" w:color="auto"/>
              <w:bottom w:val="double" w:sz="4" w:space="0" w:color="auto"/>
            </w:tcBorders>
            <w:vAlign w:val="center"/>
          </w:tcPr>
          <w:p w14:paraId="27EA126E" w14:textId="50050D7D"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0.1*</w:t>
            </w:r>
          </w:p>
        </w:tc>
        <w:tc>
          <w:tcPr>
            <w:tcW w:w="945" w:type="dxa"/>
            <w:tcBorders>
              <w:top w:val="single" w:sz="12" w:space="0" w:color="auto"/>
              <w:bottom w:val="double" w:sz="4" w:space="0" w:color="auto"/>
            </w:tcBorders>
            <w:vAlign w:val="center"/>
          </w:tcPr>
          <w:p w14:paraId="59D1DB14" w14:textId="6FB7D006" w:rsidR="000F7937" w:rsidRPr="00A929E3" w:rsidRDefault="00622542"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8.1</w:t>
            </w:r>
          </w:p>
        </w:tc>
        <w:tc>
          <w:tcPr>
            <w:tcW w:w="945" w:type="dxa"/>
            <w:tcBorders>
              <w:top w:val="single" w:sz="12" w:space="0" w:color="auto"/>
              <w:bottom w:val="double" w:sz="4" w:space="0" w:color="auto"/>
            </w:tcBorders>
            <w:vAlign w:val="center"/>
          </w:tcPr>
          <w:p w14:paraId="62CE754A" w14:textId="66035CC6" w:rsidR="000F7937" w:rsidRPr="00A929E3" w:rsidRDefault="00622542"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2.2</w:t>
            </w:r>
          </w:p>
        </w:tc>
        <w:tc>
          <w:tcPr>
            <w:tcW w:w="945" w:type="dxa"/>
            <w:tcBorders>
              <w:top w:val="single" w:sz="12" w:space="0" w:color="auto"/>
              <w:bottom w:val="double" w:sz="4" w:space="0" w:color="auto"/>
            </w:tcBorders>
            <w:vAlign w:val="center"/>
          </w:tcPr>
          <w:p w14:paraId="25768EB9" w14:textId="05842AEE" w:rsidR="000F7937" w:rsidRPr="00A929E3" w:rsidRDefault="000F7937" w:rsidP="000F79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622542">
              <w:rPr>
                <w:b/>
                <w:sz w:val="22"/>
                <w:szCs w:val="22"/>
              </w:rPr>
              <w:t>2</w:t>
            </w:r>
          </w:p>
        </w:tc>
      </w:tr>
    </w:tbl>
    <w:p w14:paraId="50C987E0" w14:textId="345E11BD" w:rsidR="00ED7FBF" w:rsidRPr="002925D2" w:rsidRDefault="00ED7FBF" w:rsidP="00C22EA6">
      <w:pPr>
        <w:pStyle w:val="BodyTextIndent3"/>
        <w:tabs>
          <w:tab w:val="left" w:pos="1080"/>
          <w:tab w:val="left" w:pos="1440"/>
          <w:tab w:val="left" w:pos="1800"/>
        </w:tabs>
        <w:rPr>
          <w:sz w:val="20"/>
        </w:rPr>
      </w:pPr>
      <w:r w:rsidRPr="002925D2">
        <w:rPr>
          <w:sz w:val="20"/>
        </w:rPr>
        <w:t>* Because estimated emissions are small but not zero, th</w:t>
      </w:r>
      <w:r>
        <w:rPr>
          <w:sz w:val="20"/>
        </w:rPr>
        <w:t>e</w:t>
      </w:r>
      <w:r w:rsidRPr="002925D2">
        <w:rPr>
          <w:sz w:val="20"/>
        </w:rPr>
        <w:t>s</w:t>
      </w:r>
      <w:r>
        <w:rPr>
          <w:sz w:val="20"/>
        </w:rPr>
        <w:t>e</w:t>
      </w:r>
      <w:r w:rsidRPr="002925D2">
        <w:rPr>
          <w:sz w:val="20"/>
        </w:rPr>
        <w:t xml:space="preserve"> value</w:t>
      </w:r>
      <w:r>
        <w:rPr>
          <w:sz w:val="20"/>
        </w:rPr>
        <w:t>s</w:t>
      </w:r>
      <w:r w:rsidRPr="002925D2">
        <w:rPr>
          <w:sz w:val="20"/>
        </w:rPr>
        <w:t xml:space="preserve"> w</w:t>
      </w:r>
      <w:r>
        <w:rPr>
          <w:sz w:val="20"/>
        </w:rPr>
        <w:t>ere</w:t>
      </w:r>
      <w:r w:rsidRPr="002925D2">
        <w:rPr>
          <w:sz w:val="20"/>
        </w:rPr>
        <w:t xml:space="preserve"> rounded to the nearest tenth of a ton.</w:t>
      </w:r>
    </w:p>
    <w:p w14:paraId="5C427FD0"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3EDC3E38" w14:textId="77777777" w:rsidTr="000A60BA">
        <w:trPr>
          <w:cantSplit/>
        </w:trPr>
        <w:tc>
          <w:tcPr>
            <w:tcW w:w="1872" w:type="dxa"/>
            <w:shd w:val="clear" w:color="auto" w:fill="D9D9D9" w:themeFill="background1" w:themeFillShade="D9"/>
          </w:tcPr>
          <w:p w14:paraId="7E2E3AAE"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4E8E2989"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38D565F0" w14:textId="77777777" w:rsidTr="000A60BA">
        <w:trPr>
          <w:cantSplit/>
        </w:trPr>
        <w:tc>
          <w:tcPr>
            <w:tcW w:w="1872" w:type="dxa"/>
          </w:tcPr>
          <w:p w14:paraId="224BAED5"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C7ED59A"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6EAC9C54" w14:textId="77777777" w:rsidTr="000A60BA">
        <w:trPr>
          <w:cantSplit/>
        </w:trPr>
        <w:tc>
          <w:tcPr>
            <w:tcW w:w="1872" w:type="dxa"/>
          </w:tcPr>
          <w:p w14:paraId="6DB47EBA"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06E9DE8"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39C259D3" w14:textId="77777777" w:rsidR="0064570C" w:rsidRPr="0075539E" w:rsidRDefault="0064570C">
      <w:pPr>
        <w:rPr>
          <w:sz w:val="24"/>
        </w:rPr>
      </w:pPr>
    </w:p>
    <w:p w14:paraId="6FFCC698" w14:textId="77777777" w:rsidR="00044AA4" w:rsidRPr="009A2573" w:rsidRDefault="00044AA4" w:rsidP="007D07F5">
      <w:pPr>
        <w:pStyle w:val="Heading2"/>
      </w:pPr>
      <w:r w:rsidRPr="009A2573">
        <w:t>AMBIENT AIR QUALITY ANALYSIS</w:t>
      </w:r>
    </w:p>
    <w:p w14:paraId="4F5BB858" w14:textId="77777777" w:rsidR="00044AA4" w:rsidRDefault="00044AA4" w:rsidP="00262986">
      <w:pPr>
        <w:ind w:left="360"/>
        <w:jc w:val="both"/>
        <w:rPr>
          <w:sz w:val="24"/>
        </w:rPr>
      </w:pPr>
    </w:p>
    <w:p w14:paraId="7DE53265"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ch.</w:t>
      </w:r>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5CCB4FAA"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10FF3BBA" w14:textId="77777777" w:rsidTr="000A60BA">
        <w:trPr>
          <w:trHeight w:val="36"/>
          <w:tblHeader/>
          <w:jc w:val="center"/>
        </w:trPr>
        <w:tc>
          <w:tcPr>
            <w:tcW w:w="1440" w:type="dxa"/>
            <w:shd w:val="clear" w:color="auto" w:fill="D9D9D9" w:themeFill="background1" w:themeFillShade="D9"/>
            <w:vAlign w:val="bottom"/>
          </w:tcPr>
          <w:p w14:paraId="7EBC1A13"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1414BA2"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29B900BB" w14:textId="77777777" w:rsidTr="0073621B">
        <w:trPr>
          <w:jc w:val="center"/>
        </w:trPr>
        <w:tc>
          <w:tcPr>
            <w:tcW w:w="1440" w:type="dxa"/>
          </w:tcPr>
          <w:p w14:paraId="2AA3190D"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4E04D054"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4E8FE664" w14:textId="77777777" w:rsidTr="0073621B">
        <w:trPr>
          <w:jc w:val="center"/>
        </w:trPr>
        <w:tc>
          <w:tcPr>
            <w:tcW w:w="1440" w:type="dxa"/>
          </w:tcPr>
          <w:p w14:paraId="395DD416"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5F9E14C6"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29DCC1E8" w14:textId="77777777" w:rsidTr="0073621B">
        <w:trPr>
          <w:jc w:val="center"/>
        </w:trPr>
        <w:tc>
          <w:tcPr>
            <w:tcW w:w="1440" w:type="dxa"/>
          </w:tcPr>
          <w:p w14:paraId="01866AD7"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1CBD6BC9"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435605B4" w14:textId="77777777" w:rsidTr="0073621B">
        <w:trPr>
          <w:jc w:val="center"/>
        </w:trPr>
        <w:tc>
          <w:tcPr>
            <w:tcW w:w="1440" w:type="dxa"/>
          </w:tcPr>
          <w:p w14:paraId="1507B5FE" w14:textId="77777777" w:rsidR="00044AA4" w:rsidRPr="00DB2DFD" w:rsidRDefault="00044AA4">
            <w:pPr>
              <w:pStyle w:val="BodyTextIndent"/>
              <w:ind w:left="0"/>
              <w:jc w:val="center"/>
              <w:rPr>
                <w:sz w:val="22"/>
                <w:szCs w:val="22"/>
              </w:rPr>
            </w:pPr>
            <w:r w:rsidRPr="00DB2DFD">
              <w:rPr>
                <w:sz w:val="22"/>
                <w:szCs w:val="22"/>
              </w:rPr>
              <w:lastRenderedPageBreak/>
              <w:t xml:space="preserve"> NO</w:t>
            </w:r>
            <w:r w:rsidRPr="00DB2DFD">
              <w:rPr>
                <w:sz w:val="22"/>
                <w:szCs w:val="22"/>
                <w:vertAlign w:val="subscript"/>
              </w:rPr>
              <w:t>x</w:t>
            </w:r>
          </w:p>
        </w:tc>
        <w:tc>
          <w:tcPr>
            <w:tcW w:w="1305" w:type="dxa"/>
            <w:vAlign w:val="center"/>
          </w:tcPr>
          <w:p w14:paraId="63DD7ECA"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68C7428E" w14:textId="77777777" w:rsidTr="0073621B">
        <w:trPr>
          <w:jc w:val="center"/>
        </w:trPr>
        <w:tc>
          <w:tcPr>
            <w:tcW w:w="1440" w:type="dxa"/>
          </w:tcPr>
          <w:p w14:paraId="5625A55A"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7D455B2A"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3CE80ABD" w14:textId="77777777" w:rsidR="00D224F5" w:rsidRDefault="00750131" w:rsidP="00262986">
      <w:pPr>
        <w:tabs>
          <w:tab w:val="left" w:pos="720"/>
        </w:tabs>
        <w:ind w:left="360" w:hanging="360"/>
        <w:jc w:val="both"/>
        <w:rPr>
          <w:sz w:val="24"/>
        </w:rPr>
      </w:pPr>
      <w:r>
        <w:rPr>
          <w:sz w:val="24"/>
        </w:rPr>
        <w:tab/>
      </w:r>
    </w:p>
    <w:p w14:paraId="1BE83F3A" w14:textId="51EAEF38" w:rsidR="00044AA4" w:rsidRDefault="008253BC" w:rsidP="00D224F5">
      <w:pPr>
        <w:tabs>
          <w:tab w:val="left" w:pos="720"/>
        </w:tabs>
        <w:ind w:left="360"/>
        <w:jc w:val="both"/>
        <w:rPr>
          <w:sz w:val="24"/>
        </w:rPr>
      </w:pPr>
      <w:r>
        <w:rPr>
          <w:sz w:val="24"/>
        </w:rPr>
        <w:t>T</w:t>
      </w:r>
      <w:r w:rsidR="00044AA4">
        <w:rPr>
          <w:sz w:val="24"/>
        </w:rPr>
        <w:t xml:space="preserve">he total </w:t>
      </w:r>
      <w:r w:rsidR="00750131">
        <w:rPr>
          <w:sz w:val="24"/>
        </w:rPr>
        <w:t xml:space="preserve">licensed </w:t>
      </w:r>
      <w:r w:rsidR="00FD1EBB">
        <w:rPr>
          <w:sz w:val="24"/>
        </w:rPr>
        <w:t xml:space="preserve">annual </w:t>
      </w:r>
      <w:r w:rsidR="00044AA4">
        <w:rPr>
          <w:sz w:val="24"/>
        </w:rPr>
        <w:t>emissions</w:t>
      </w:r>
      <w:r w:rsidR="00FD1EBB">
        <w:rPr>
          <w:sz w:val="24"/>
        </w:rPr>
        <w:t xml:space="preserve"> for the facility</w:t>
      </w:r>
      <w:r>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Pr>
          <w:sz w:val="24"/>
        </w:rPr>
        <w:t xml:space="preserve">impact </w:t>
      </w:r>
      <w:r w:rsidR="005F467F">
        <w:rPr>
          <w:sz w:val="24"/>
        </w:rPr>
        <w:t xml:space="preserve">analysis </w:t>
      </w:r>
      <w:r>
        <w:rPr>
          <w:sz w:val="24"/>
        </w:rPr>
        <w:t>i</w:t>
      </w:r>
      <w:r w:rsidR="005F467F">
        <w:rPr>
          <w:sz w:val="24"/>
        </w:rPr>
        <w:t xml:space="preserve">s not required </w:t>
      </w:r>
      <w:r>
        <w:rPr>
          <w:sz w:val="24"/>
        </w:rPr>
        <w:t>a</w:t>
      </w:r>
      <w:r w:rsidR="005F467F">
        <w:rPr>
          <w:sz w:val="24"/>
        </w:rPr>
        <w:t>s part of this license</w:t>
      </w:r>
      <w:r w:rsidR="00044AA4">
        <w:rPr>
          <w:sz w:val="24"/>
        </w:rPr>
        <w:t>.</w:t>
      </w:r>
    </w:p>
    <w:p w14:paraId="37CE4453" w14:textId="77777777" w:rsidR="004970E8" w:rsidRDefault="004970E8" w:rsidP="00262986">
      <w:pPr>
        <w:tabs>
          <w:tab w:val="left" w:pos="720"/>
        </w:tabs>
        <w:ind w:left="360" w:hanging="360"/>
        <w:jc w:val="both"/>
        <w:rPr>
          <w:sz w:val="24"/>
        </w:rPr>
      </w:pPr>
    </w:p>
    <w:p w14:paraId="7F1FFD17" w14:textId="320A723A" w:rsidR="005F101D" w:rsidRPr="008B5420" w:rsidRDefault="005F101D" w:rsidP="005F101D">
      <w:pPr>
        <w:ind w:left="360"/>
        <w:jc w:val="both"/>
        <w:rPr>
          <w:sz w:val="24"/>
          <w:szCs w:val="24"/>
        </w:rPr>
      </w:pPr>
      <w:bookmarkStart w:id="8" w:name="_Hlk99615818"/>
      <w:r w:rsidRPr="005F101D">
        <w:rPr>
          <w:sz w:val="24"/>
          <w:szCs w:val="24"/>
        </w:rPr>
        <w:t xml:space="preserve">This determination is based on information provided by the applicant regarding </w:t>
      </w:r>
      <w:bookmarkStart w:id="9" w:name="_Hlk139033765"/>
      <w:r w:rsidRPr="00965279">
        <w:rPr>
          <w:sz w:val="24"/>
          <w:szCs w:val="24"/>
        </w:rPr>
        <w:t xml:space="preserve">the expected construction and operation of the </w:t>
      </w:r>
      <w:bookmarkEnd w:id="9"/>
      <w:proofErr w:type="gramStart"/>
      <w:r w:rsidRPr="005F101D">
        <w:rPr>
          <w:sz w:val="24"/>
          <w:szCs w:val="24"/>
        </w:rPr>
        <w:t>emission units</w:t>
      </w:r>
      <w:proofErr w:type="gramEnd"/>
      <w:r w:rsidRPr="005F101D">
        <w:rPr>
          <w:sz w:val="24"/>
          <w:szCs w:val="24"/>
        </w:rPr>
        <w:t xml:space="preserve">. If the Department determines that any parameter (e.g., stack size, configuration, flow rate, emission rates, nearby structures, etc.) deviates from what was included in the application, the Department may require </w:t>
      </w:r>
      <w:r w:rsidR="00965279">
        <w:rPr>
          <w:sz w:val="24"/>
          <w:szCs w:val="24"/>
        </w:rPr>
        <w:t>N</w:t>
      </w:r>
      <w:r w:rsidR="007E6F9B">
        <w:rPr>
          <w:sz w:val="24"/>
          <w:szCs w:val="24"/>
        </w:rPr>
        <w:t>ortheastern</w:t>
      </w:r>
      <w:r w:rsidRPr="005F101D">
        <w:rPr>
          <w:sz w:val="24"/>
          <w:szCs w:val="24"/>
        </w:rPr>
        <w:t xml:space="preserve"> to submit additional information and may require an ambient air quality impact analysis at that time.</w:t>
      </w:r>
    </w:p>
    <w:bookmarkEnd w:id="8"/>
    <w:p w14:paraId="093D4C80" w14:textId="77777777" w:rsidR="00044AA4" w:rsidRDefault="00044AA4" w:rsidP="00262986">
      <w:pPr>
        <w:tabs>
          <w:tab w:val="left" w:pos="720"/>
        </w:tabs>
        <w:ind w:left="360"/>
        <w:jc w:val="both"/>
        <w:rPr>
          <w:sz w:val="24"/>
        </w:rPr>
      </w:pPr>
    </w:p>
    <w:p w14:paraId="271C749B" w14:textId="77777777" w:rsidR="005813FB" w:rsidRDefault="005813FB" w:rsidP="00262986">
      <w:pPr>
        <w:tabs>
          <w:tab w:val="left" w:pos="720"/>
        </w:tabs>
        <w:ind w:left="360"/>
        <w:jc w:val="both"/>
        <w:rPr>
          <w:sz w:val="24"/>
        </w:rPr>
      </w:pPr>
    </w:p>
    <w:p w14:paraId="478F088D" w14:textId="77777777" w:rsidR="00044AA4" w:rsidRPr="009A2573" w:rsidRDefault="00044AA4" w:rsidP="009A2573">
      <w:pPr>
        <w:pStyle w:val="Heading1"/>
      </w:pPr>
      <w:r w:rsidRPr="009A2573">
        <w:t>ORDER</w:t>
      </w:r>
    </w:p>
    <w:p w14:paraId="5547E96E" w14:textId="77777777" w:rsidR="00044AA4" w:rsidRDefault="00044AA4">
      <w:pPr>
        <w:jc w:val="both"/>
        <w:rPr>
          <w:sz w:val="24"/>
        </w:rPr>
      </w:pPr>
    </w:p>
    <w:p w14:paraId="42D3037E" w14:textId="77777777" w:rsidR="00044AA4" w:rsidRDefault="00044AA4">
      <w:pPr>
        <w:jc w:val="both"/>
        <w:rPr>
          <w:sz w:val="24"/>
        </w:rPr>
      </w:pPr>
      <w:r>
        <w:rPr>
          <w:sz w:val="24"/>
        </w:rPr>
        <w:t>Based on the above Findings and subject to conditions listed below, the Department concludes that the emissions from this source:</w:t>
      </w:r>
    </w:p>
    <w:p w14:paraId="3439CD25"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287FCC26"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49C7A120"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0A7D21DE" w14:textId="77777777" w:rsidR="00044AA4" w:rsidRDefault="00044AA4">
      <w:pPr>
        <w:jc w:val="both"/>
        <w:rPr>
          <w:sz w:val="24"/>
        </w:rPr>
      </w:pPr>
    </w:p>
    <w:p w14:paraId="7D8901EF" w14:textId="4ED00B77" w:rsidR="00044AA4" w:rsidRDefault="00044AA4">
      <w:pPr>
        <w:pStyle w:val="BodyText"/>
      </w:pPr>
      <w:r>
        <w:t>The Department hereby grants Air Emission License</w:t>
      </w:r>
      <w:r w:rsidR="001826AE" w:rsidRPr="001826AE">
        <w:rPr>
          <w:b/>
          <w:bCs/>
          <w:i/>
          <w:szCs w:val="24"/>
        </w:rPr>
        <w:t xml:space="preserve"> </w:t>
      </w:r>
      <w:r>
        <w:t>A-</w:t>
      </w:r>
      <w:r w:rsidR="00965279">
        <w:t>1194</w:t>
      </w:r>
      <w:r>
        <w:t>-</w:t>
      </w:r>
      <w:r w:rsidR="00965279">
        <w:t>71</w:t>
      </w:r>
      <w:r>
        <w:t>-</w:t>
      </w:r>
      <w:r w:rsidR="00965279">
        <w:t>A</w:t>
      </w:r>
      <w:r>
        <w:t>-</w:t>
      </w:r>
      <w:r w:rsidR="00965279">
        <w:t>N</w:t>
      </w:r>
      <w:r w:rsidR="00BB27ED">
        <w:t xml:space="preserve"> </w:t>
      </w:r>
      <w:r>
        <w:t xml:space="preserve">subject to </w:t>
      </w:r>
      <w:r w:rsidR="00E04021">
        <w:t>the following conditions.</w:t>
      </w:r>
    </w:p>
    <w:p w14:paraId="0C1C2830" w14:textId="77777777" w:rsidR="00E04021" w:rsidRDefault="00E04021">
      <w:pPr>
        <w:pStyle w:val="BodyText"/>
      </w:pPr>
    </w:p>
    <w:p w14:paraId="2F3E5E61" w14:textId="32A3AED5"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06B777C6" w14:textId="77777777" w:rsidR="00DB6671" w:rsidRDefault="00DB6671" w:rsidP="00E04021">
      <w:pPr>
        <w:autoSpaceDE w:val="0"/>
        <w:autoSpaceDN w:val="0"/>
        <w:adjustRightInd w:val="0"/>
        <w:jc w:val="both"/>
        <w:rPr>
          <w:bCs/>
          <w:sz w:val="24"/>
          <w:szCs w:val="24"/>
        </w:rPr>
      </w:pPr>
    </w:p>
    <w:p w14:paraId="0ACA4786" w14:textId="77777777" w:rsidR="001826AE" w:rsidRDefault="00013E2E" w:rsidP="00751B07">
      <w:pPr>
        <w:pStyle w:val="Heading2"/>
        <w:numPr>
          <w:ilvl w:val="0"/>
          <w:numId w:val="0"/>
        </w:numPr>
      </w:pPr>
      <w:r>
        <w:t>STANDARD CONDITIONS</w:t>
      </w:r>
      <w:r w:rsidR="001826AE">
        <w:t xml:space="preserve"> </w:t>
      </w:r>
    </w:p>
    <w:p w14:paraId="1B417EB5" w14:textId="77777777" w:rsidR="00044AA4" w:rsidRDefault="00044AA4">
      <w:pPr>
        <w:jc w:val="both"/>
        <w:rPr>
          <w:b/>
          <w:sz w:val="24"/>
        </w:rPr>
      </w:pPr>
    </w:p>
    <w:p w14:paraId="3AA6A19F"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25932F9F" w14:textId="77777777" w:rsidR="00044AA4" w:rsidRDefault="00044AA4">
      <w:pPr>
        <w:jc w:val="both"/>
        <w:rPr>
          <w:sz w:val="24"/>
        </w:rPr>
      </w:pPr>
    </w:p>
    <w:p w14:paraId="24286877" w14:textId="3264EB71" w:rsidR="00044AA4" w:rsidRPr="00622542" w:rsidRDefault="00044AA4" w:rsidP="004D41CD">
      <w:pPr>
        <w:numPr>
          <w:ilvl w:val="0"/>
          <w:numId w:val="2"/>
        </w:numPr>
        <w:jc w:val="both"/>
        <w:rPr>
          <w:sz w:val="24"/>
        </w:rPr>
      </w:pPr>
      <w:r w:rsidRPr="00622542">
        <w:rPr>
          <w:sz w:val="24"/>
        </w:rPr>
        <w:t xml:space="preserve">The licensee shall acquire a new or amended air emission license prior to </w:t>
      </w:r>
      <w:r w:rsidR="00DF4037" w:rsidRPr="00622542">
        <w:rPr>
          <w:sz w:val="24"/>
        </w:rPr>
        <w:t xml:space="preserve">beginning actual </w:t>
      </w:r>
      <w:r w:rsidRPr="00622542">
        <w:rPr>
          <w:sz w:val="24"/>
        </w:rPr>
        <w:t>construction of a modification, unless specifically provided for in Chapter 115. [</w:t>
      </w:r>
      <w:r w:rsidR="00123054" w:rsidRPr="00622542">
        <w:rPr>
          <w:sz w:val="24"/>
        </w:rPr>
        <w:t>06</w:t>
      </w:r>
      <w:r w:rsidR="00622542">
        <w:rPr>
          <w:sz w:val="24"/>
        </w:rPr>
        <w:noBreakHyphen/>
      </w:r>
      <w:r w:rsidR="00123054" w:rsidRPr="00622542">
        <w:rPr>
          <w:sz w:val="24"/>
        </w:rPr>
        <w:t>096</w:t>
      </w:r>
      <w:r w:rsidR="00622542">
        <w:rPr>
          <w:sz w:val="24"/>
        </w:rPr>
        <w:t> </w:t>
      </w:r>
      <w:r w:rsidR="00123054" w:rsidRPr="00622542">
        <w:rPr>
          <w:sz w:val="24"/>
        </w:rPr>
        <w:t>C</w:t>
      </w:r>
      <w:r w:rsidR="007C368C" w:rsidRPr="00622542">
        <w:rPr>
          <w:sz w:val="24"/>
        </w:rPr>
        <w:t>.</w:t>
      </w:r>
      <w:r w:rsidR="00123054" w:rsidRPr="00622542">
        <w:rPr>
          <w:sz w:val="24"/>
        </w:rPr>
        <w:t>M</w:t>
      </w:r>
      <w:r w:rsidR="007C368C" w:rsidRPr="00622542">
        <w:rPr>
          <w:sz w:val="24"/>
        </w:rPr>
        <w:t>.</w:t>
      </w:r>
      <w:r w:rsidR="00123054" w:rsidRPr="00622542">
        <w:rPr>
          <w:sz w:val="24"/>
        </w:rPr>
        <w:t>R</w:t>
      </w:r>
      <w:r w:rsidR="007C368C" w:rsidRPr="00622542">
        <w:rPr>
          <w:sz w:val="24"/>
        </w:rPr>
        <w:t>. ch.</w:t>
      </w:r>
      <w:r w:rsidR="00123054" w:rsidRPr="00622542">
        <w:rPr>
          <w:sz w:val="24"/>
        </w:rPr>
        <w:t xml:space="preserve"> 115</w:t>
      </w:r>
      <w:r w:rsidRPr="00622542">
        <w:rPr>
          <w:sz w:val="24"/>
        </w:rPr>
        <w:t>]</w:t>
      </w:r>
    </w:p>
    <w:p w14:paraId="4FF66A25" w14:textId="77777777" w:rsidR="00044AA4" w:rsidRDefault="00044AA4" w:rsidP="007D100E">
      <w:pPr>
        <w:numPr>
          <w:ilvl w:val="0"/>
          <w:numId w:val="2"/>
        </w:numPr>
        <w:jc w:val="both"/>
        <w:rPr>
          <w:sz w:val="24"/>
        </w:rPr>
      </w:pPr>
      <w:r>
        <w:rPr>
          <w:sz w:val="24"/>
        </w:rPr>
        <w:lastRenderedPageBreak/>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 xml:space="preserve">The Department may extend this </w:t>
      </w:r>
      <w:proofErr w:type="gramStart"/>
      <w:r>
        <w:rPr>
          <w:sz w:val="24"/>
        </w:rPr>
        <w:t>time period</w:t>
      </w:r>
      <w:proofErr w:type="gramEnd"/>
      <w:r>
        <w:rPr>
          <w:sz w:val="24"/>
        </w:rPr>
        <w:t xml:space="preserve"> upon a satisfactory showing that an extension is </w:t>
      </w:r>
      <w:proofErr w:type="gramStart"/>
      <w:r>
        <w:rPr>
          <w:sz w:val="24"/>
        </w:rPr>
        <w:t>justified, but</w:t>
      </w:r>
      <w:proofErr w:type="gramEnd"/>
      <w:r>
        <w:rPr>
          <w:sz w:val="24"/>
        </w:rPr>
        <w:t xml:space="preserve">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3B53004F" w14:textId="77777777" w:rsidR="00044AA4" w:rsidRDefault="00044AA4">
      <w:pPr>
        <w:jc w:val="both"/>
        <w:rPr>
          <w:sz w:val="24"/>
        </w:rPr>
      </w:pPr>
    </w:p>
    <w:p w14:paraId="7A3F9BA1"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754273E2" w14:textId="77777777" w:rsidR="00044AA4" w:rsidRDefault="00044AA4">
      <w:pPr>
        <w:jc w:val="both"/>
        <w:rPr>
          <w:sz w:val="24"/>
        </w:rPr>
      </w:pPr>
    </w:p>
    <w:p w14:paraId="5CECF5AB" w14:textId="53E18FEE" w:rsidR="00044AA4" w:rsidRDefault="00044AA4" w:rsidP="00ED2C75">
      <w:pPr>
        <w:numPr>
          <w:ilvl w:val="0"/>
          <w:numId w:val="2"/>
        </w:numPr>
        <w:jc w:val="both"/>
        <w:rPr>
          <w:sz w:val="24"/>
        </w:rPr>
      </w:pPr>
      <w:r w:rsidRPr="00965279">
        <w:rPr>
          <w:sz w:val="24"/>
        </w:rPr>
        <w:t>The licensee shall pay the annual air emission license fee to the Department, calculat</w:t>
      </w:r>
      <w:r w:rsidR="007C368C" w:rsidRPr="00965279">
        <w:rPr>
          <w:sz w:val="24"/>
        </w:rPr>
        <w:t>ed pursuant to Title 38 M.R.S.</w:t>
      </w:r>
      <w:r w:rsidRPr="00965279">
        <w:rPr>
          <w:sz w:val="24"/>
        </w:rPr>
        <w:t xml:space="preserve"> §</w:t>
      </w:r>
      <w:r w:rsidR="007C368C" w:rsidRPr="00965279">
        <w:rPr>
          <w:sz w:val="24"/>
        </w:rPr>
        <w:t xml:space="preserve"> </w:t>
      </w:r>
      <w:r w:rsidRPr="00965279">
        <w:rPr>
          <w:sz w:val="24"/>
        </w:rPr>
        <w:t>353</w:t>
      </w:r>
      <w:r w:rsidR="00BB1E5C" w:rsidRPr="00965279">
        <w:rPr>
          <w:sz w:val="24"/>
        </w:rPr>
        <w:t>-A</w:t>
      </w:r>
      <w:r w:rsidRPr="00965279">
        <w:rPr>
          <w:sz w:val="24"/>
        </w:rPr>
        <w:t>. [</w:t>
      </w:r>
      <w:r w:rsidR="00123054" w:rsidRPr="00965279">
        <w:rPr>
          <w:sz w:val="24"/>
        </w:rPr>
        <w:t xml:space="preserve">06-096 </w:t>
      </w:r>
      <w:r w:rsidR="007C368C" w:rsidRPr="00965279">
        <w:rPr>
          <w:sz w:val="24"/>
        </w:rPr>
        <w:t xml:space="preserve">C.M.R. ch. </w:t>
      </w:r>
      <w:r w:rsidR="00123054" w:rsidRPr="00965279">
        <w:rPr>
          <w:sz w:val="24"/>
        </w:rPr>
        <w:t>115</w:t>
      </w:r>
      <w:r w:rsidRPr="00965279">
        <w:rPr>
          <w:sz w:val="24"/>
        </w:rPr>
        <w:t>]</w:t>
      </w:r>
      <w:r w:rsidR="0069751E" w:rsidRPr="00965279">
        <w:rPr>
          <w:sz w:val="24"/>
        </w:rPr>
        <w:t xml:space="preserve"> Payment of the annual air emission license fee for </w:t>
      </w:r>
      <w:r w:rsidR="00965279" w:rsidRPr="00965279">
        <w:rPr>
          <w:sz w:val="24"/>
        </w:rPr>
        <w:t>N</w:t>
      </w:r>
      <w:r w:rsidR="007E6F9B">
        <w:rPr>
          <w:sz w:val="24"/>
        </w:rPr>
        <w:t>ortheastern</w:t>
      </w:r>
      <w:r w:rsidR="0069751E" w:rsidRPr="00965279">
        <w:rPr>
          <w:color w:val="00B050"/>
          <w:sz w:val="24"/>
        </w:rPr>
        <w:t xml:space="preserve"> </w:t>
      </w:r>
      <w:r w:rsidR="0069751E" w:rsidRPr="00965279">
        <w:rPr>
          <w:sz w:val="24"/>
        </w:rPr>
        <w:t>is due by the end of</w:t>
      </w:r>
      <w:r w:rsidR="00965279" w:rsidRPr="00965279">
        <w:rPr>
          <w:sz w:val="24"/>
        </w:rPr>
        <w:t xml:space="preserve"> February</w:t>
      </w:r>
      <w:r w:rsidR="0069751E" w:rsidRPr="00965279">
        <w:rPr>
          <w:sz w:val="24"/>
        </w:rPr>
        <w:t xml:space="preserve"> of each year.</w:t>
      </w:r>
      <w:r w:rsidR="009A05C8" w:rsidRPr="00965279">
        <w:rPr>
          <w:sz w:val="24"/>
        </w:rPr>
        <w:t xml:space="preserve"> [38 M.R.S. §</w:t>
      </w:r>
      <w:r w:rsidR="00965279" w:rsidRPr="00965279">
        <w:rPr>
          <w:sz w:val="24"/>
        </w:rPr>
        <w:t> </w:t>
      </w:r>
      <w:r w:rsidR="009A05C8" w:rsidRPr="00965279">
        <w:rPr>
          <w:sz w:val="24"/>
        </w:rPr>
        <w:t>353</w:t>
      </w:r>
      <w:r w:rsidR="00965279" w:rsidRPr="00965279">
        <w:rPr>
          <w:sz w:val="24"/>
        </w:rPr>
        <w:noBreakHyphen/>
      </w:r>
      <w:proofErr w:type="gramStart"/>
      <w:r w:rsidR="009A05C8" w:rsidRPr="00965279">
        <w:rPr>
          <w:sz w:val="24"/>
        </w:rPr>
        <w:t>A(</w:t>
      </w:r>
      <w:proofErr w:type="gramEnd"/>
      <w:r w:rsidR="009A05C8" w:rsidRPr="00965279">
        <w:rPr>
          <w:sz w:val="24"/>
        </w:rPr>
        <w:t>3)]</w:t>
      </w:r>
    </w:p>
    <w:p w14:paraId="223DCEE7" w14:textId="77777777" w:rsidR="00825C48" w:rsidRPr="00965279" w:rsidRDefault="00825C48" w:rsidP="00825C48">
      <w:pPr>
        <w:jc w:val="both"/>
        <w:rPr>
          <w:sz w:val="24"/>
        </w:rPr>
      </w:pPr>
    </w:p>
    <w:p w14:paraId="0999872D"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61E38BF5" w14:textId="77777777" w:rsidR="00044AA4" w:rsidRDefault="00044AA4">
      <w:pPr>
        <w:jc w:val="both"/>
        <w:rPr>
          <w:sz w:val="24"/>
        </w:rPr>
      </w:pPr>
    </w:p>
    <w:p w14:paraId="717D2233"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6895E374" w14:textId="77777777" w:rsidR="00044AA4" w:rsidRDefault="00044AA4">
      <w:pPr>
        <w:jc w:val="both"/>
        <w:rPr>
          <w:sz w:val="24"/>
        </w:rPr>
      </w:pPr>
    </w:p>
    <w:p w14:paraId="5943CCC1"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1912EC5F" w14:textId="77777777" w:rsidR="00044AA4" w:rsidRDefault="00044AA4">
      <w:pPr>
        <w:jc w:val="both"/>
        <w:rPr>
          <w:sz w:val="24"/>
        </w:rPr>
      </w:pPr>
    </w:p>
    <w:p w14:paraId="0602AD57"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w:t>
      </w:r>
    </w:p>
    <w:p w14:paraId="2FC09841"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0A9DD18E" w14:textId="77777777" w:rsidR="00044AA4" w:rsidRDefault="00044AA4">
      <w:pPr>
        <w:jc w:val="both"/>
        <w:rPr>
          <w:sz w:val="24"/>
        </w:rPr>
      </w:pPr>
    </w:p>
    <w:p w14:paraId="637CE331"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w:t>
      </w:r>
      <w:proofErr w:type="gramStart"/>
      <w:r>
        <w:rPr>
          <w:sz w:val="24"/>
        </w:rPr>
        <w:t>in order to</w:t>
      </w:r>
      <w:proofErr w:type="gramEnd"/>
      <w:r>
        <w:rPr>
          <w:sz w:val="24"/>
        </w:rPr>
        <w:t xml:space="preserve"> maintain compliance with the conditions of the air emission license. </w:t>
      </w:r>
    </w:p>
    <w:p w14:paraId="4924A7E4"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1E49AE8C" w14:textId="77777777" w:rsidR="00044AA4" w:rsidRDefault="00044AA4">
      <w:pPr>
        <w:jc w:val="both"/>
        <w:rPr>
          <w:sz w:val="24"/>
        </w:rPr>
      </w:pPr>
    </w:p>
    <w:p w14:paraId="0BB9E6BD"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75D584C6" w14:textId="77777777" w:rsidR="001826AE" w:rsidRDefault="001826AE" w:rsidP="001826AE">
      <w:pPr>
        <w:jc w:val="both"/>
        <w:rPr>
          <w:sz w:val="24"/>
        </w:rPr>
      </w:pPr>
    </w:p>
    <w:p w14:paraId="1B538EE7" w14:textId="77777777" w:rsidR="00044AA4" w:rsidRDefault="001826AE" w:rsidP="007D100E">
      <w:pPr>
        <w:numPr>
          <w:ilvl w:val="0"/>
          <w:numId w:val="6"/>
        </w:numPr>
        <w:jc w:val="both"/>
        <w:rPr>
          <w:sz w:val="24"/>
        </w:rPr>
      </w:pPr>
      <w:r>
        <w:rPr>
          <w:sz w:val="24"/>
        </w:rPr>
        <w:lastRenderedPageBreak/>
        <w:t>P</w:t>
      </w:r>
      <w:r w:rsidR="00044AA4">
        <w:rPr>
          <w:sz w:val="24"/>
        </w:rPr>
        <w:t>erform stack testing to demonstrate compliance with the applicable emission standards under circumstances representative of the facility’s normal process and operating conditions:</w:t>
      </w:r>
    </w:p>
    <w:p w14:paraId="6F9DE7D7"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17D41E97"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3FA64785" w14:textId="77777777" w:rsidR="001826AE" w:rsidRDefault="001826AE" w:rsidP="001826AE">
      <w:pPr>
        <w:ind w:left="1440"/>
        <w:jc w:val="both"/>
        <w:rPr>
          <w:sz w:val="24"/>
        </w:rPr>
      </w:pPr>
    </w:p>
    <w:p w14:paraId="691289CA"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 xml:space="preserve">60, Appendix A, and test platforms, if necessary, and other </w:t>
      </w:r>
      <w:proofErr w:type="gramStart"/>
      <w:r w:rsidR="00044AA4">
        <w:rPr>
          <w:sz w:val="24"/>
        </w:rPr>
        <w:t>accommodations</w:t>
      </w:r>
      <w:proofErr w:type="gramEnd"/>
      <w:r w:rsidR="00044AA4">
        <w:rPr>
          <w:sz w:val="24"/>
        </w:rPr>
        <w:t xml:space="preserve"> necessary to allow emission testing; and</w:t>
      </w:r>
    </w:p>
    <w:p w14:paraId="073CE75F" w14:textId="77777777" w:rsidR="001826AE" w:rsidRDefault="001826AE" w:rsidP="001826AE">
      <w:pPr>
        <w:tabs>
          <w:tab w:val="left" w:pos="1440"/>
        </w:tabs>
        <w:ind w:left="1080"/>
        <w:jc w:val="both"/>
        <w:rPr>
          <w:sz w:val="24"/>
        </w:rPr>
      </w:pPr>
    </w:p>
    <w:p w14:paraId="4684EAF2" w14:textId="77777777" w:rsidR="00044AA4" w:rsidRDefault="001826AE" w:rsidP="007D100E">
      <w:pPr>
        <w:numPr>
          <w:ilvl w:val="0"/>
          <w:numId w:val="6"/>
        </w:numPr>
        <w:tabs>
          <w:tab w:val="left" w:pos="1440"/>
        </w:tabs>
        <w:jc w:val="both"/>
        <w:rPr>
          <w:sz w:val="24"/>
        </w:rPr>
      </w:pPr>
      <w:r>
        <w:rPr>
          <w:sz w:val="24"/>
        </w:rPr>
        <w:t>S</w:t>
      </w:r>
      <w:r w:rsidR="00044AA4">
        <w:rPr>
          <w:sz w:val="24"/>
        </w:rPr>
        <w:t xml:space="preserve">ubmit a written report to the Department within thirty (30) </w:t>
      </w:r>
      <w:proofErr w:type="gramStart"/>
      <w:r w:rsidR="00044AA4">
        <w:rPr>
          <w:sz w:val="24"/>
        </w:rPr>
        <w:t>days from date</w:t>
      </w:r>
      <w:proofErr w:type="gramEnd"/>
      <w:r w:rsidR="00044AA4">
        <w:rPr>
          <w:sz w:val="24"/>
        </w:rPr>
        <w:t xml:space="preserve"> of test completion.</w:t>
      </w:r>
    </w:p>
    <w:p w14:paraId="74363208"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5E2A613A" w14:textId="77777777" w:rsidR="00044AA4" w:rsidRDefault="00044AA4">
      <w:pPr>
        <w:jc w:val="both"/>
        <w:rPr>
          <w:sz w:val="24"/>
        </w:rPr>
      </w:pPr>
    </w:p>
    <w:p w14:paraId="1AE0E5E2" w14:textId="77777777" w:rsidR="00044AA4" w:rsidRDefault="00044AA4" w:rsidP="007D100E">
      <w:pPr>
        <w:numPr>
          <w:ilvl w:val="0"/>
          <w:numId w:val="2"/>
        </w:numPr>
        <w:jc w:val="both"/>
        <w:rPr>
          <w:sz w:val="24"/>
        </w:rPr>
      </w:pPr>
      <w:r>
        <w:rPr>
          <w:sz w:val="24"/>
        </w:rPr>
        <w:t xml:space="preserve">If the results of a stack test performed under circumstances representative of the facility’s normal process and operating conditions indicate emissions </w:t>
      </w:r>
      <w:proofErr w:type="gramStart"/>
      <w:r>
        <w:rPr>
          <w:sz w:val="24"/>
        </w:rPr>
        <w:t>in excess of</w:t>
      </w:r>
      <w:proofErr w:type="gramEnd"/>
      <w:r>
        <w:rPr>
          <w:sz w:val="24"/>
        </w:rPr>
        <w:t xml:space="preserve"> the applicable standards, then:</w:t>
      </w:r>
    </w:p>
    <w:p w14:paraId="40DFD396" w14:textId="77777777" w:rsidR="001826AE" w:rsidRDefault="001826AE" w:rsidP="001826AE">
      <w:pPr>
        <w:ind w:left="720"/>
        <w:jc w:val="both"/>
        <w:rPr>
          <w:sz w:val="24"/>
        </w:rPr>
      </w:pPr>
    </w:p>
    <w:p w14:paraId="65C4FC14"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51077C42" w14:textId="77777777" w:rsidR="001826AE" w:rsidRDefault="001826AE" w:rsidP="001826AE">
      <w:pPr>
        <w:ind w:left="1080"/>
        <w:jc w:val="both"/>
        <w:rPr>
          <w:sz w:val="24"/>
        </w:rPr>
      </w:pPr>
    </w:p>
    <w:p w14:paraId="2736C685" w14:textId="77777777" w:rsidR="001826AE" w:rsidRDefault="001826AE" w:rsidP="001826AE">
      <w:pPr>
        <w:numPr>
          <w:ilvl w:val="0"/>
          <w:numId w:val="8"/>
        </w:numPr>
        <w:jc w:val="both"/>
        <w:rPr>
          <w:sz w:val="24"/>
        </w:rPr>
      </w:pPr>
      <w:r>
        <w:rPr>
          <w:sz w:val="24"/>
        </w:rPr>
        <w:t>T</w:t>
      </w:r>
      <w:r w:rsidR="00044AA4">
        <w:rPr>
          <w:sz w:val="24"/>
        </w:rPr>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7B6AAE49" w14:textId="77777777" w:rsidR="001826AE" w:rsidRPr="001826AE" w:rsidRDefault="001826AE" w:rsidP="001826AE">
      <w:pPr>
        <w:jc w:val="both"/>
        <w:rPr>
          <w:sz w:val="24"/>
        </w:rPr>
      </w:pPr>
    </w:p>
    <w:p w14:paraId="46AD1BC8" w14:textId="77777777" w:rsidR="00044AA4" w:rsidRDefault="001826AE" w:rsidP="007D100E">
      <w:pPr>
        <w:numPr>
          <w:ilvl w:val="0"/>
          <w:numId w:val="8"/>
        </w:numPr>
        <w:jc w:val="both"/>
        <w:rPr>
          <w:sz w:val="24"/>
        </w:rPr>
      </w:pPr>
      <w:r>
        <w:rPr>
          <w:sz w:val="24"/>
        </w:rPr>
        <w:t>T</w:t>
      </w:r>
      <w:r w:rsidR="00044AA4">
        <w:rPr>
          <w:sz w:val="24"/>
        </w:rPr>
        <w:t xml:space="preserve">he licensee may, upon the approval of the Department following the successful demonstration of compliance </w:t>
      </w:r>
      <w:proofErr w:type="gramStart"/>
      <w:r w:rsidR="00044AA4">
        <w:rPr>
          <w:sz w:val="24"/>
        </w:rPr>
        <w:t>at</w:t>
      </w:r>
      <w:proofErr w:type="gramEnd"/>
      <w:r w:rsidR="00044AA4">
        <w:rPr>
          <w:sz w:val="24"/>
        </w:rPr>
        <w:t xml:space="preserve"> alternative load conditions, operate under such alternative load conditions on an interim basis prior to a demonstration of compliance under normal and representative process and operating conditions.</w:t>
      </w:r>
    </w:p>
    <w:p w14:paraId="7A0FABD5"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464004F6" w14:textId="77777777" w:rsidR="00044AA4" w:rsidRDefault="00044AA4">
      <w:pPr>
        <w:jc w:val="both"/>
        <w:rPr>
          <w:sz w:val="24"/>
        </w:rPr>
      </w:pPr>
    </w:p>
    <w:p w14:paraId="210B3181"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7B25594D" w14:textId="77777777" w:rsidR="00044AA4" w:rsidRDefault="00044AA4" w:rsidP="007D100E">
      <w:pPr>
        <w:numPr>
          <w:ilvl w:val="0"/>
          <w:numId w:val="2"/>
        </w:numPr>
        <w:jc w:val="both"/>
        <w:rPr>
          <w:sz w:val="24"/>
        </w:rPr>
      </w:pPr>
      <w:r>
        <w:rPr>
          <w:sz w:val="24"/>
        </w:rPr>
        <w:lastRenderedPageBreak/>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62DFCCAA" w14:textId="77777777" w:rsidR="00044AA4" w:rsidRDefault="00044AA4">
      <w:pPr>
        <w:jc w:val="both"/>
        <w:rPr>
          <w:sz w:val="24"/>
        </w:rPr>
      </w:pPr>
    </w:p>
    <w:p w14:paraId="3EBB92F7"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3D01D536"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0A5D5D66" w14:textId="77777777" w:rsidR="0047639F" w:rsidRDefault="0047639F" w:rsidP="0047639F">
      <w:pPr>
        <w:pStyle w:val="ListParagraph"/>
        <w:rPr>
          <w:sz w:val="24"/>
        </w:rPr>
      </w:pPr>
    </w:p>
    <w:p w14:paraId="3AD4D14B" w14:textId="4FDFB148"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w:t>
      </w:r>
      <w:r w:rsidR="00ED7FBF">
        <w:rPr>
          <w:sz w:val="24"/>
        </w:rPr>
        <w:t>. [</w:t>
      </w:r>
      <w:r>
        <w:rPr>
          <w:sz w:val="24"/>
        </w:rPr>
        <w:t>38 M.R.S. § 605]</w:t>
      </w:r>
    </w:p>
    <w:p w14:paraId="116E0FC7" w14:textId="77777777" w:rsidR="00044AA4" w:rsidRDefault="00044AA4">
      <w:pPr>
        <w:jc w:val="both"/>
        <w:rPr>
          <w:sz w:val="24"/>
        </w:rPr>
      </w:pPr>
    </w:p>
    <w:p w14:paraId="465FFD7D" w14:textId="77777777" w:rsidR="00044AA4" w:rsidRPr="00F850F5" w:rsidRDefault="00044AA4" w:rsidP="00751B07">
      <w:pPr>
        <w:pStyle w:val="Heading2"/>
        <w:numPr>
          <w:ilvl w:val="0"/>
          <w:numId w:val="0"/>
        </w:numPr>
      </w:pPr>
      <w:r w:rsidRPr="00F850F5">
        <w:t>SPECIFIC CONDITIONS</w:t>
      </w:r>
    </w:p>
    <w:p w14:paraId="6B8C8717" w14:textId="77777777" w:rsidR="00044AA4" w:rsidRDefault="00044AA4">
      <w:pPr>
        <w:jc w:val="both"/>
        <w:rPr>
          <w:sz w:val="24"/>
        </w:rPr>
      </w:pPr>
    </w:p>
    <w:p w14:paraId="4F0055F5" w14:textId="28E7536E" w:rsidR="005922AF" w:rsidRPr="005922AF" w:rsidRDefault="005922AF" w:rsidP="00A47C92">
      <w:pPr>
        <w:pStyle w:val="Heading4"/>
      </w:pPr>
      <w:r w:rsidRPr="005922AF">
        <w:t>Generators</w:t>
      </w:r>
      <w:r w:rsidR="00965279">
        <w:t xml:space="preserve"> #1 and #2</w:t>
      </w:r>
    </w:p>
    <w:p w14:paraId="5AEE8A31" w14:textId="77777777" w:rsidR="00CB169C" w:rsidRPr="005922AF" w:rsidRDefault="00CB169C" w:rsidP="00CB169C">
      <w:pPr>
        <w:ind w:left="720"/>
        <w:jc w:val="both"/>
        <w:rPr>
          <w:sz w:val="24"/>
        </w:rPr>
      </w:pPr>
    </w:p>
    <w:p w14:paraId="0C38731D" w14:textId="2E8803CE" w:rsidR="00CB169C" w:rsidRPr="00EE3CB9" w:rsidRDefault="005A1121" w:rsidP="00F73523">
      <w:pPr>
        <w:numPr>
          <w:ilvl w:val="0"/>
          <w:numId w:val="17"/>
        </w:numPr>
        <w:tabs>
          <w:tab w:val="left" w:pos="720"/>
          <w:tab w:val="left" w:pos="1080"/>
        </w:tabs>
        <w:contextualSpacing/>
        <w:jc w:val="both"/>
        <w:rPr>
          <w:sz w:val="24"/>
          <w:szCs w:val="24"/>
        </w:rPr>
      </w:pPr>
      <w:r w:rsidRPr="005A1121">
        <w:rPr>
          <w:bCs/>
          <w:iCs/>
          <w:sz w:val="24"/>
          <w:szCs w:val="24"/>
        </w:rPr>
        <w:t>Each of t</w:t>
      </w:r>
      <w:r w:rsidR="00CB169C" w:rsidRPr="00FF6B49">
        <w:rPr>
          <w:sz w:val="24"/>
          <w:szCs w:val="24"/>
        </w:rPr>
        <w:t>he emergency generator</w:t>
      </w:r>
      <w:r>
        <w:rPr>
          <w:sz w:val="24"/>
          <w:szCs w:val="24"/>
        </w:rPr>
        <w:t xml:space="preserve">s </w:t>
      </w:r>
      <w:r w:rsidR="00CB169C" w:rsidRPr="00FF6B49">
        <w:rPr>
          <w:sz w:val="24"/>
          <w:szCs w:val="24"/>
        </w:rPr>
        <w:t xml:space="preserve">shall be limited to 100 hours of operation per calendar year, excluding operating hours during emergency situations. </w:t>
      </w:r>
      <w:r w:rsidR="00CB169C" w:rsidRPr="005922AF">
        <w:rPr>
          <w:sz w:val="24"/>
        </w:rPr>
        <w:t xml:space="preserve">[06-096 </w:t>
      </w:r>
      <w:r w:rsidR="000B45CD">
        <w:rPr>
          <w:sz w:val="24"/>
        </w:rPr>
        <w:t xml:space="preserve">C.M.R. ch. </w:t>
      </w:r>
      <w:r w:rsidR="00CB169C" w:rsidRPr="005922AF">
        <w:rPr>
          <w:sz w:val="24"/>
        </w:rPr>
        <w:t>115</w:t>
      </w:r>
      <w:r w:rsidR="00AD4376">
        <w:rPr>
          <w:sz w:val="24"/>
        </w:rPr>
        <w:t>,</w:t>
      </w:r>
      <w:r w:rsidR="00AD4376" w:rsidRPr="00AD4376">
        <w:rPr>
          <w:sz w:val="24"/>
          <w:szCs w:val="24"/>
        </w:rPr>
        <w:t xml:space="preserve"> </w:t>
      </w:r>
      <w:r w:rsidR="00AD4376" w:rsidRPr="00B8055A">
        <w:rPr>
          <w:sz w:val="24"/>
          <w:szCs w:val="24"/>
        </w:rPr>
        <w:t>BACT</w:t>
      </w:r>
      <w:r w:rsidR="00CB169C" w:rsidRPr="005922AF">
        <w:rPr>
          <w:sz w:val="24"/>
        </w:rPr>
        <w:t>]</w:t>
      </w:r>
    </w:p>
    <w:p w14:paraId="6CA4D5EE" w14:textId="77777777" w:rsidR="00EE3CB9" w:rsidRPr="00EE3CB9" w:rsidRDefault="00EE3CB9" w:rsidP="00EE3CB9">
      <w:pPr>
        <w:tabs>
          <w:tab w:val="left" w:pos="720"/>
          <w:tab w:val="left" w:pos="1080"/>
        </w:tabs>
        <w:ind w:left="1080"/>
        <w:contextualSpacing/>
        <w:jc w:val="both"/>
        <w:rPr>
          <w:sz w:val="24"/>
          <w:szCs w:val="24"/>
        </w:rPr>
      </w:pPr>
    </w:p>
    <w:p w14:paraId="0AB006B9" w14:textId="17466268" w:rsidR="00EE3CB9" w:rsidRDefault="005A1121" w:rsidP="00F73523">
      <w:pPr>
        <w:numPr>
          <w:ilvl w:val="0"/>
          <w:numId w:val="17"/>
        </w:numPr>
        <w:tabs>
          <w:tab w:val="left" w:pos="720"/>
          <w:tab w:val="left" w:pos="1080"/>
        </w:tabs>
        <w:contextualSpacing/>
        <w:jc w:val="both"/>
        <w:rPr>
          <w:sz w:val="24"/>
          <w:szCs w:val="24"/>
        </w:rPr>
      </w:pPr>
      <w:r>
        <w:rPr>
          <w:sz w:val="24"/>
          <w:szCs w:val="24"/>
        </w:rPr>
        <w:t>A</w:t>
      </w:r>
      <w:r w:rsidR="005279E4">
        <w:rPr>
          <w:sz w:val="24"/>
          <w:szCs w:val="24"/>
        </w:rPr>
        <w:t xml:space="preserve">lthough 40 C.F.R. </w:t>
      </w:r>
      <w:r w:rsidR="005279E4" w:rsidRPr="005279E4">
        <w:rPr>
          <w:sz w:val="24"/>
          <w:szCs w:val="24"/>
        </w:rPr>
        <w:t>Part 60, Subpart</w:t>
      </w:r>
      <w:r w:rsidR="005279E4" w:rsidRPr="005279E4">
        <w:rPr>
          <w:b/>
          <w:bCs/>
          <w:i/>
          <w:iCs/>
          <w:sz w:val="24"/>
          <w:szCs w:val="24"/>
        </w:rPr>
        <w:t xml:space="preserve"> </w:t>
      </w:r>
      <w:r>
        <w:rPr>
          <w:sz w:val="24"/>
          <w:szCs w:val="24"/>
        </w:rPr>
        <w:t>IIII</w:t>
      </w:r>
      <w:r w:rsidRPr="005A1121">
        <w:rPr>
          <w:sz w:val="24"/>
          <w:szCs w:val="24"/>
        </w:rPr>
        <w:t xml:space="preserve"> </w:t>
      </w:r>
      <w:r w:rsidR="005279E4">
        <w:rPr>
          <w:sz w:val="24"/>
          <w:szCs w:val="24"/>
        </w:rPr>
        <w:t>limits emergency</w:t>
      </w:r>
      <w:r w:rsidR="005813FB">
        <w:rPr>
          <w:sz w:val="24"/>
          <w:szCs w:val="24"/>
        </w:rPr>
        <w:t xml:space="preserve"> generators, such as Generators #1 and #2 to no more than </w:t>
      </w:r>
      <w:r w:rsidR="005279E4">
        <w:rPr>
          <w:sz w:val="24"/>
          <w:szCs w:val="24"/>
        </w:rPr>
        <w:t>100</w:t>
      </w:r>
      <w:r w:rsidR="005813FB">
        <w:rPr>
          <w:sz w:val="24"/>
          <w:szCs w:val="24"/>
        </w:rPr>
        <w:t xml:space="preserve"> </w:t>
      </w:r>
      <w:r w:rsidR="005279E4">
        <w:rPr>
          <w:sz w:val="24"/>
          <w:szCs w:val="24"/>
        </w:rPr>
        <w:t>hours per year</w:t>
      </w:r>
      <w:r w:rsidR="005813FB">
        <w:rPr>
          <w:sz w:val="24"/>
          <w:szCs w:val="24"/>
        </w:rPr>
        <w:t xml:space="preserve"> of non-emergency use</w:t>
      </w:r>
      <w:r w:rsidR="005279E4">
        <w:rPr>
          <w:sz w:val="24"/>
          <w:szCs w:val="24"/>
        </w:rPr>
        <w:t xml:space="preserve"> with unlimited use during emergency situations,</w:t>
      </w:r>
      <w:r w:rsidR="005279E4">
        <w:rPr>
          <w:b/>
          <w:bCs/>
          <w:i/>
          <w:iCs/>
          <w:sz w:val="24"/>
          <w:szCs w:val="24"/>
        </w:rPr>
        <w:t xml:space="preserve"> </w:t>
      </w:r>
      <w:r w:rsidR="005813FB">
        <w:rPr>
          <w:sz w:val="24"/>
          <w:szCs w:val="24"/>
        </w:rPr>
        <w:t xml:space="preserve">emergency operation of </w:t>
      </w:r>
      <w:r w:rsidR="00EE3CB9" w:rsidRPr="005A1121">
        <w:rPr>
          <w:sz w:val="24"/>
          <w:szCs w:val="24"/>
        </w:rPr>
        <w:t>Generator #1</w:t>
      </w:r>
      <w:r w:rsidR="00EE3CB9">
        <w:rPr>
          <w:sz w:val="24"/>
          <w:szCs w:val="24"/>
        </w:rPr>
        <w:t xml:space="preserve"> shall be limited</w:t>
      </w:r>
      <w:r w:rsidR="005813FB">
        <w:rPr>
          <w:sz w:val="24"/>
          <w:szCs w:val="24"/>
        </w:rPr>
        <w:t xml:space="preserve"> such that total Generator #1 operation does not exceed</w:t>
      </w:r>
      <w:r w:rsidR="00EE3CB9">
        <w:rPr>
          <w:sz w:val="24"/>
          <w:szCs w:val="24"/>
        </w:rPr>
        <w:t xml:space="preserve"> 500 hours per year on a 12-month rolling total basis.</w:t>
      </w:r>
    </w:p>
    <w:p w14:paraId="1DFE930B" w14:textId="77777777" w:rsidR="00EE3CB9" w:rsidRDefault="00EE3CB9" w:rsidP="00EE3CB9">
      <w:pPr>
        <w:pStyle w:val="ListParagraph"/>
        <w:rPr>
          <w:sz w:val="24"/>
          <w:szCs w:val="24"/>
        </w:rPr>
      </w:pPr>
    </w:p>
    <w:p w14:paraId="4A5BCA70" w14:textId="2BD61DE9" w:rsidR="00EE3CB9" w:rsidRDefault="00EE3CB9" w:rsidP="00EE3CB9">
      <w:pPr>
        <w:ind w:left="1080"/>
        <w:jc w:val="both"/>
        <w:rPr>
          <w:sz w:val="24"/>
          <w:szCs w:val="24"/>
        </w:rPr>
      </w:pPr>
      <w:r w:rsidRPr="00844919">
        <w:rPr>
          <w:sz w:val="24"/>
          <w:szCs w:val="24"/>
        </w:rPr>
        <w:t xml:space="preserve">If there are periods of extended outage such as a natural disaster or other similar </w:t>
      </w:r>
      <w:proofErr w:type="gramStart"/>
      <w:r w:rsidRPr="00844919">
        <w:rPr>
          <w:sz w:val="24"/>
          <w:szCs w:val="24"/>
        </w:rPr>
        <w:t>event</w:t>
      </w:r>
      <w:proofErr w:type="gramEnd"/>
      <w:r w:rsidRPr="00844919">
        <w:rPr>
          <w:sz w:val="24"/>
          <w:szCs w:val="24"/>
        </w:rPr>
        <w:t xml:space="preserve"> outside </w:t>
      </w:r>
      <w:proofErr w:type="spellStart"/>
      <w:r w:rsidR="005A1121">
        <w:rPr>
          <w:sz w:val="24"/>
          <w:szCs w:val="24"/>
        </w:rPr>
        <w:t>N</w:t>
      </w:r>
      <w:r w:rsidR="005813FB">
        <w:rPr>
          <w:sz w:val="24"/>
          <w:szCs w:val="24"/>
        </w:rPr>
        <w:t>ortheastern</w:t>
      </w:r>
      <w:r w:rsidR="005A1121">
        <w:rPr>
          <w:sz w:val="24"/>
          <w:szCs w:val="24"/>
        </w:rPr>
        <w:t>’s</w:t>
      </w:r>
      <w:proofErr w:type="spellEnd"/>
      <w:r w:rsidRPr="00844919">
        <w:rPr>
          <w:sz w:val="24"/>
          <w:szCs w:val="24"/>
        </w:rPr>
        <w:t xml:space="preserve"> </w:t>
      </w:r>
      <w:r>
        <w:rPr>
          <w:sz w:val="24"/>
          <w:szCs w:val="24"/>
        </w:rPr>
        <w:t xml:space="preserve">control, </w:t>
      </w:r>
      <w:r w:rsidR="005A1121">
        <w:rPr>
          <w:sz w:val="24"/>
          <w:szCs w:val="24"/>
        </w:rPr>
        <w:t>N</w:t>
      </w:r>
      <w:r w:rsidR="005813FB">
        <w:rPr>
          <w:sz w:val="24"/>
          <w:szCs w:val="24"/>
        </w:rPr>
        <w:t>ortheastern</w:t>
      </w:r>
      <w:r w:rsidRPr="00844919">
        <w:rPr>
          <w:sz w:val="24"/>
          <w:szCs w:val="24"/>
        </w:rPr>
        <w:t xml:space="preserve"> may apply to the Department for a temporary variance to exempt specific time periods from this annual hour limit. The</w:t>
      </w:r>
      <w:r>
        <w:rPr>
          <w:sz w:val="24"/>
          <w:szCs w:val="24"/>
        </w:rPr>
        <w:t xml:space="preserve"> Department</w:t>
      </w:r>
      <w:r w:rsidRPr="00844919">
        <w:rPr>
          <w:sz w:val="24"/>
          <w:szCs w:val="24"/>
        </w:rPr>
        <w:t xml:space="preserve"> Commissioner may, without hearing, issue that variance for </w:t>
      </w:r>
      <w:proofErr w:type="gramStart"/>
      <w:r w:rsidRPr="00844919">
        <w:rPr>
          <w:sz w:val="24"/>
          <w:szCs w:val="24"/>
        </w:rPr>
        <w:t>a period of time</w:t>
      </w:r>
      <w:proofErr w:type="gramEnd"/>
      <w:r w:rsidRPr="00844919">
        <w:rPr>
          <w:sz w:val="24"/>
          <w:szCs w:val="24"/>
        </w:rPr>
        <w:t xml:space="preserve"> not to exceed 30 days if, in his/her judgement, the variance is necessary to avoid immediate threat to public health, safety, or general welfare or to protect critical infrastructure</w:t>
      </w:r>
      <w:r>
        <w:rPr>
          <w:sz w:val="24"/>
          <w:szCs w:val="24"/>
        </w:rPr>
        <w:t>.</w:t>
      </w:r>
    </w:p>
    <w:p w14:paraId="3E72026E" w14:textId="77777777" w:rsidR="00EE3CB9" w:rsidRPr="005922AF" w:rsidRDefault="00EE3CB9" w:rsidP="00EE3CB9">
      <w:pPr>
        <w:tabs>
          <w:tab w:val="left" w:pos="720"/>
          <w:tab w:val="left" w:pos="1080"/>
        </w:tabs>
        <w:ind w:left="1080"/>
        <w:contextualSpacing/>
        <w:jc w:val="both"/>
        <w:rPr>
          <w:sz w:val="24"/>
          <w:szCs w:val="24"/>
        </w:rPr>
      </w:pPr>
      <w:r>
        <w:rPr>
          <w:sz w:val="24"/>
          <w:szCs w:val="24"/>
        </w:rPr>
        <w:t>[06-096 C.M.R. ch. 169, § 4(B)(2)(c)]</w:t>
      </w:r>
    </w:p>
    <w:p w14:paraId="36D40456" w14:textId="77777777" w:rsidR="00CB169C" w:rsidRPr="005922AF" w:rsidRDefault="00CB169C" w:rsidP="00CB169C">
      <w:pPr>
        <w:tabs>
          <w:tab w:val="left" w:pos="1080"/>
        </w:tabs>
        <w:ind w:left="720"/>
        <w:jc w:val="both"/>
        <w:rPr>
          <w:sz w:val="24"/>
        </w:rPr>
      </w:pPr>
    </w:p>
    <w:p w14:paraId="4406EC8A" w14:textId="6EA02EAF" w:rsidR="003676C3" w:rsidRPr="007E6F9B" w:rsidRDefault="005A1121" w:rsidP="007E6F9B">
      <w:pPr>
        <w:numPr>
          <w:ilvl w:val="0"/>
          <w:numId w:val="17"/>
        </w:numPr>
        <w:tabs>
          <w:tab w:val="left" w:pos="1080"/>
        </w:tabs>
        <w:contextualSpacing/>
        <w:jc w:val="both"/>
        <w:rPr>
          <w:sz w:val="24"/>
        </w:rPr>
      </w:pPr>
      <w:r>
        <w:rPr>
          <w:sz w:val="24"/>
          <w:szCs w:val="24"/>
        </w:rPr>
        <w:t>N</w:t>
      </w:r>
      <w:r w:rsidR="003676C3">
        <w:rPr>
          <w:sz w:val="24"/>
          <w:szCs w:val="24"/>
        </w:rPr>
        <w:t>ortheastern</w:t>
      </w:r>
      <w:r w:rsidR="004B2036" w:rsidRPr="005A1121">
        <w:rPr>
          <w:sz w:val="24"/>
          <w:szCs w:val="24"/>
        </w:rPr>
        <w:t xml:space="preserve"> shall keep records of all maintenance conducted on the engine</w:t>
      </w:r>
      <w:r>
        <w:rPr>
          <w:sz w:val="24"/>
          <w:szCs w:val="24"/>
        </w:rPr>
        <w:t>s</w:t>
      </w:r>
      <w:r w:rsidR="004B2036" w:rsidRPr="005A1121">
        <w:rPr>
          <w:sz w:val="24"/>
          <w:szCs w:val="24"/>
        </w:rPr>
        <w:t xml:space="preserve"> associated with Generator</w:t>
      </w:r>
      <w:r w:rsidRPr="005A1121">
        <w:rPr>
          <w:sz w:val="24"/>
          <w:szCs w:val="24"/>
        </w:rPr>
        <w:t>s</w:t>
      </w:r>
      <w:r w:rsidR="004B2036" w:rsidRPr="005A1121">
        <w:rPr>
          <w:sz w:val="24"/>
          <w:szCs w:val="24"/>
        </w:rPr>
        <w:t xml:space="preserve"> #1</w:t>
      </w:r>
      <w:r w:rsidRPr="005A1121">
        <w:rPr>
          <w:sz w:val="24"/>
          <w:szCs w:val="24"/>
        </w:rPr>
        <w:t xml:space="preserve"> and #2</w:t>
      </w:r>
      <w:r w:rsidR="004B2036" w:rsidRPr="005A1121">
        <w:rPr>
          <w:sz w:val="24"/>
          <w:szCs w:val="24"/>
        </w:rPr>
        <w:t>. [06-096 C.M.R. ch. 115, BACT]</w:t>
      </w:r>
      <w:r w:rsidR="003676C3" w:rsidRPr="007E6F9B">
        <w:rPr>
          <w:sz w:val="24"/>
        </w:rPr>
        <w:br w:type="page"/>
      </w:r>
    </w:p>
    <w:p w14:paraId="57CFF89B" w14:textId="4042215E" w:rsidR="00CB169C" w:rsidRPr="005922AF" w:rsidRDefault="00CB169C" w:rsidP="00F73523">
      <w:pPr>
        <w:numPr>
          <w:ilvl w:val="0"/>
          <w:numId w:val="17"/>
        </w:numPr>
        <w:tabs>
          <w:tab w:val="left" w:pos="1080"/>
        </w:tabs>
        <w:contextualSpacing/>
        <w:jc w:val="both"/>
        <w:rPr>
          <w:sz w:val="24"/>
        </w:rPr>
      </w:pPr>
      <w:r w:rsidRPr="005922AF">
        <w:rPr>
          <w:sz w:val="24"/>
        </w:rPr>
        <w:lastRenderedPageBreak/>
        <w:t>Emissions shall not exceed the following:</w:t>
      </w:r>
    </w:p>
    <w:p w14:paraId="6081251A" w14:textId="77777777" w:rsidR="00CB169C" w:rsidRPr="005922AF" w:rsidRDefault="00CB169C" w:rsidP="00CB169C">
      <w:pPr>
        <w:tabs>
          <w:tab w:val="left" w:pos="720"/>
        </w:tabs>
        <w:ind w:left="1080" w:hanging="1080"/>
        <w:jc w:val="both"/>
        <w:rPr>
          <w:sz w:val="24"/>
        </w:rPr>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350"/>
        <w:gridCol w:w="3870"/>
      </w:tblGrid>
      <w:tr w:rsidR="00CB169C" w:rsidRPr="005922AF" w14:paraId="23A52AFB" w14:textId="77777777" w:rsidTr="00B128AE">
        <w:trPr>
          <w:tblHeader/>
        </w:trPr>
        <w:tc>
          <w:tcPr>
            <w:tcW w:w="1857" w:type="dxa"/>
            <w:shd w:val="clear" w:color="auto" w:fill="D9D9D9" w:themeFill="background1" w:themeFillShade="D9"/>
            <w:vAlign w:val="bottom"/>
          </w:tcPr>
          <w:p w14:paraId="55794BA2" w14:textId="77777777" w:rsidR="00CB169C" w:rsidRPr="00B128AE" w:rsidRDefault="00CB169C" w:rsidP="00027390">
            <w:pPr>
              <w:tabs>
                <w:tab w:val="left" w:pos="720"/>
              </w:tabs>
              <w:jc w:val="center"/>
              <w:rPr>
                <w:b/>
                <w:sz w:val="22"/>
                <w:szCs w:val="22"/>
              </w:rPr>
            </w:pPr>
            <w:r w:rsidRPr="00B128AE">
              <w:rPr>
                <w:b/>
                <w:sz w:val="22"/>
                <w:szCs w:val="22"/>
              </w:rPr>
              <w:t>Unit</w:t>
            </w:r>
          </w:p>
        </w:tc>
        <w:tc>
          <w:tcPr>
            <w:tcW w:w="1170" w:type="dxa"/>
            <w:shd w:val="clear" w:color="auto" w:fill="D9D9D9" w:themeFill="background1" w:themeFillShade="D9"/>
            <w:vAlign w:val="bottom"/>
          </w:tcPr>
          <w:p w14:paraId="295762FD" w14:textId="77777777" w:rsidR="00CB169C" w:rsidRPr="00B128AE" w:rsidRDefault="00CB169C" w:rsidP="00027390">
            <w:pPr>
              <w:tabs>
                <w:tab w:val="left" w:pos="720"/>
              </w:tabs>
              <w:jc w:val="center"/>
              <w:rPr>
                <w:b/>
                <w:sz w:val="22"/>
                <w:szCs w:val="22"/>
              </w:rPr>
            </w:pPr>
            <w:r w:rsidRPr="00B128AE">
              <w:rPr>
                <w:b/>
                <w:sz w:val="22"/>
                <w:szCs w:val="22"/>
              </w:rPr>
              <w:t>Pollutant</w:t>
            </w:r>
          </w:p>
        </w:tc>
        <w:tc>
          <w:tcPr>
            <w:tcW w:w="1350" w:type="dxa"/>
            <w:shd w:val="clear" w:color="auto" w:fill="D9D9D9" w:themeFill="background1" w:themeFillShade="D9"/>
            <w:vAlign w:val="bottom"/>
          </w:tcPr>
          <w:p w14:paraId="187D5549" w14:textId="77777777" w:rsidR="00CB169C" w:rsidRPr="00B128AE" w:rsidRDefault="00CB169C" w:rsidP="00027390">
            <w:pPr>
              <w:tabs>
                <w:tab w:val="left" w:pos="720"/>
              </w:tabs>
              <w:jc w:val="center"/>
              <w:rPr>
                <w:b/>
                <w:sz w:val="22"/>
                <w:szCs w:val="22"/>
              </w:rPr>
            </w:pPr>
            <w:proofErr w:type="spellStart"/>
            <w:r w:rsidRPr="00B128AE">
              <w:rPr>
                <w:b/>
                <w:sz w:val="22"/>
                <w:szCs w:val="22"/>
              </w:rPr>
              <w:t>lb</w:t>
            </w:r>
            <w:proofErr w:type="spellEnd"/>
            <w:r w:rsidRPr="00B128AE">
              <w:rPr>
                <w:b/>
                <w:sz w:val="22"/>
                <w:szCs w:val="22"/>
              </w:rPr>
              <w:t>/MMBtu</w:t>
            </w:r>
          </w:p>
        </w:tc>
        <w:tc>
          <w:tcPr>
            <w:tcW w:w="3870" w:type="dxa"/>
            <w:shd w:val="clear" w:color="auto" w:fill="D9D9D9" w:themeFill="background1" w:themeFillShade="D9"/>
            <w:vAlign w:val="bottom"/>
          </w:tcPr>
          <w:p w14:paraId="1B3D8F0A" w14:textId="77777777" w:rsidR="00CB169C" w:rsidRPr="00B128AE" w:rsidRDefault="00CB169C" w:rsidP="00027390">
            <w:pPr>
              <w:tabs>
                <w:tab w:val="left" w:pos="720"/>
              </w:tabs>
              <w:jc w:val="center"/>
              <w:rPr>
                <w:b/>
                <w:sz w:val="22"/>
                <w:szCs w:val="22"/>
              </w:rPr>
            </w:pPr>
            <w:r w:rsidRPr="00B128AE">
              <w:rPr>
                <w:b/>
                <w:sz w:val="22"/>
                <w:szCs w:val="22"/>
              </w:rPr>
              <w:t>Origin and Authority</w:t>
            </w:r>
          </w:p>
        </w:tc>
      </w:tr>
      <w:tr w:rsidR="00CB169C" w:rsidRPr="005922AF" w14:paraId="0A3BC9D9" w14:textId="77777777" w:rsidTr="00116E58">
        <w:tc>
          <w:tcPr>
            <w:tcW w:w="1857" w:type="dxa"/>
            <w:vAlign w:val="center"/>
          </w:tcPr>
          <w:p w14:paraId="126EA971" w14:textId="7FB57102" w:rsidR="00CB169C" w:rsidRPr="00B128AE" w:rsidRDefault="00CB169C" w:rsidP="00116E58">
            <w:pPr>
              <w:tabs>
                <w:tab w:val="left" w:pos="720"/>
              </w:tabs>
              <w:rPr>
                <w:sz w:val="22"/>
                <w:szCs w:val="22"/>
              </w:rPr>
            </w:pPr>
            <w:r w:rsidRPr="00B128AE">
              <w:rPr>
                <w:sz w:val="22"/>
                <w:szCs w:val="22"/>
              </w:rPr>
              <w:t>Generator #</w:t>
            </w:r>
            <w:r w:rsidR="00C53128">
              <w:rPr>
                <w:sz w:val="22"/>
                <w:szCs w:val="22"/>
              </w:rPr>
              <w:t>1</w:t>
            </w:r>
          </w:p>
        </w:tc>
        <w:tc>
          <w:tcPr>
            <w:tcW w:w="1170" w:type="dxa"/>
            <w:vAlign w:val="center"/>
          </w:tcPr>
          <w:p w14:paraId="3A6707C1" w14:textId="77777777" w:rsidR="00CB169C" w:rsidRPr="00B128AE" w:rsidRDefault="00CB169C" w:rsidP="00116E58">
            <w:pPr>
              <w:tabs>
                <w:tab w:val="left" w:pos="720"/>
              </w:tabs>
              <w:jc w:val="center"/>
              <w:rPr>
                <w:sz w:val="22"/>
                <w:szCs w:val="22"/>
              </w:rPr>
            </w:pPr>
            <w:r w:rsidRPr="00B128AE">
              <w:rPr>
                <w:sz w:val="22"/>
                <w:szCs w:val="22"/>
              </w:rPr>
              <w:t>PM</w:t>
            </w:r>
          </w:p>
        </w:tc>
        <w:tc>
          <w:tcPr>
            <w:tcW w:w="1350" w:type="dxa"/>
            <w:vAlign w:val="center"/>
          </w:tcPr>
          <w:p w14:paraId="1DA13754" w14:textId="77777777" w:rsidR="00CB169C" w:rsidRPr="00B128AE" w:rsidRDefault="00CB169C" w:rsidP="00116E58">
            <w:pPr>
              <w:tabs>
                <w:tab w:val="left" w:pos="720"/>
              </w:tabs>
              <w:jc w:val="center"/>
              <w:rPr>
                <w:sz w:val="22"/>
                <w:szCs w:val="22"/>
              </w:rPr>
            </w:pPr>
            <w:r w:rsidRPr="00B128AE">
              <w:rPr>
                <w:sz w:val="22"/>
                <w:szCs w:val="22"/>
              </w:rPr>
              <w:t>0.12</w:t>
            </w:r>
          </w:p>
        </w:tc>
        <w:tc>
          <w:tcPr>
            <w:tcW w:w="3870" w:type="dxa"/>
            <w:vAlign w:val="center"/>
          </w:tcPr>
          <w:p w14:paraId="4CD45E8B" w14:textId="77777777" w:rsidR="00CB169C" w:rsidRPr="00B128AE" w:rsidRDefault="00CB169C" w:rsidP="00116E58">
            <w:pPr>
              <w:tabs>
                <w:tab w:val="left" w:pos="720"/>
              </w:tabs>
              <w:jc w:val="center"/>
              <w:rPr>
                <w:sz w:val="22"/>
                <w:szCs w:val="22"/>
              </w:rPr>
            </w:pPr>
            <w:r w:rsidRPr="00B128AE">
              <w:rPr>
                <w:sz w:val="22"/>
                <w:szCs w:val="22"/>
              </w:rPr>
              <w:t xml:space="preserve">06-096 </w:t>
            </w:r>
            <w:r w:rsidR="000B45CD" w:rsidRPr="00B128AE">
              <w:rPr>
                <w:sz w:val="22"/>
                <w:szCs w:val="22"/>
              </w:rPr>
              <w:t xml:space="preserve">C.M.R. ch. </w:t>
            </w:r>
            <w:r w:rsidRPr="00B128AE">
              <w:rPr>
                <w:sz w:val="22"/>
                <w:szCs w:val="22"/>
              </w:rPr>
              <w:t>103</w:t>
            </w:r>
            <w:r w:rsidR="000B45CD" w:rsidRPr="00B128AE">
              <w:rPr>
                <w:sz w:val="22"/>
                <w:szCs w:val="22"/>
              </w:rPr>
              <w:t xml:space="preserve">, § </w:t>
            </w:r>
            <w:r w:rsidRPr="00B128AE">
              <w:rPr>
                <w:sz w:val="22"/>
                <w:szCs w:val="22"/>
              </w:rPr>
              <w:t>(2)(B)(1)(a)</w:t>
            </w:r>
          </w:p>
        </w:tc>
      </w:tr>
    </w:tbl>
    <w:p w14:paraId="51858F05" w14:textId="77777777" w:rsidR="00CB169C" w:rsidRPr="005922AF" w:rsidRDefault="00CB169C" w:rsidP="00CB169C">
      <w:pPr>
        <w:tabs>
          <w:tab w:val="left" w:pos="720"/>
          <w:tab w:val="left" w:pos="1080"/>
          <w:tab w:val="left" w:pos="1440"/>
        </w:tabs>
        <w:jc w:val="both"/>
        <w:rPr>
          <w:sz w:val="24"/>
          <w:szCs w:val="24"/>
        </w:rPr>
      </w:pPr>
    </w:p>
    <w:p w14:paraId="0BCC913B" w14:textId="4ABE6BB2"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 [06-096 C</w:t>
      </w:r>
      <w:r w:rsidR="000B45CD">
        <w:rPr>
          <w:sz w:val="24"/>
        </w:rPr>
        <w:t>.</w:t>
      </w:r>
      <w:r w:rsidRPr="005922AF">
        <w:rPr>
          <w:sz w:val="24"/>
        </w:rPr>
        <w:t>M</w:t>
      </w:r>
      <w:r w:rsidR="000B45CD">
        <w:rPr>
          <w:sz w:val="24"/>
        </w:rPr>
        <w:t>.</w:t>
      </w:r>
      <w:r w:rsidRPr="005922AF">
        <w:rPr>
          <w:sz w:val="24"/>
        </w:rPr>
        <w:t>R</w:t>
      </w:r>
      <w:r w:rsidR="000B45CD">
        <w:rPr>
          <w:sz w:val="24"/>
        </w:rPr>
        <w:t>. ch.</w:t>
      </w:r>
      <w:r w:rsidRPr="005922AF">
        <w:rPr>
          <w:sz w:val="24"/>
        </w:rPr>
        <w:t xml:space="preserve"> 115, </w:t>
      </w:r>
      <w:r w:rsidR="00AD4376" w:rsidRPr="00B8055A">
        <w:rPr>
          <w:sz w:val="24"/>
          <w:szCs w:val="24"/>
        </w:rPr>
        <w:t>BACT</w:t>
      </w:r>
      <w:r w:rsidRPr="005922AF">
        <w:rPr>
          <w:sz w:val="24"/>
        </w:rPr>
        <w:t>]:</w:t>
      </w:r>
    </w:p>
    <w:p w14:paraId="41EC32D0" w14:textId="77777777" w:rsidR="00CB169C" w:rsidRPr="005922AF" w:rsidRDefault="00CB169C" w:rsidP="00CB169C">
      <w:pPr>
        <w:tabs>
          <w:tab w:val="left" w:pos="1440"/>
        </w:tabs>
        <w:ind w:left="2160" w:hanging="1800"/>
        <w:jc w:val="both"/>
        <w:rPr>
          <w:sz w:val="24"/>
          <w:szCs w:val="24"/>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90"/>
        <w:gridCol w:w="925"/>
        <w:gridCol w:w="926"/>
        <w:gridCol w:w="926"/>
        <w:gridCol w:w="925"/>
        <w:gridCol w:w="926"/>
        <w:gridCol w:w="926"/>
        <w:gridCol w:w="926"/>
      </w:tblGrid>
      <w:tr w:rsidR="00B128AE" w:rsidRPr="005922AF" w14:paraId="19CB28A2" w14:textId="77777777" w:rsidTr="00116E58">
        <w:trPr>
          <w:tblHeader/>
        </w:trPr>
        <w:tc>
          <w:tcPr>
            <w:tcW w:w="1890" w:type="dxa"/>
            <w:shd w:val="clear" w:color="auto" w:fill="D9D9D9" w:themeFill="background1" w:themeFillShade="D9"/>
            <w:vAlign w:val="bottom"/>
          </w:tcPr>
          <w:p w14:paraId="1D66401D" w14:textId="77777777" w:rsidR="00B128AE" w:rsidRPr="00B128AE" w:rsidRDefault="00B128AE" w:rsidP="00116E58">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t>Unit</w:t>
            </w:r>
          </w:p>
        </w:tc>
        <w:tc>
          <w:tcPr>
            <w:tcW w:w="925" w:type="dxa"/>
            <w:shd w:val="clear" w:color="auto" w:fill="D9D9D9" w:themeFill="background1" w:themeFillShade="D9"/>
            <w:vAlign w:val="bottom"/>
          </w:tcPr>
          <w:p w14:paraId="76B6573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4C3E0D5D"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03937DD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4C4F0E1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0FDBC380" w14:textId="77777777" w:rsid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7CE7BBBF"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25" w:type="dxa"/>
            <w:shd w:val="clear" w:color="auto" w:fill="D9D9D9" w:themeFill="background1" w:themeFillShade="D9"/>
            <w:vAlign w:val="bottom"/>
          </w:tcPr>
          <w:p w14:paraId="611A7BB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5008A931"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774F9FDA"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44B47358"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59B9C844"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4744B59D"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c>
          <w:tcPr>
            <w:tcW w:w="926" w:type="dxa"/>
            <w:shd w:val="clear" w:color="auto" w:fill="D9D9D9" w:themeFill="background1" w:themeFillShade="D9"/>
            <w:vAlign w:val="bottom"/>
          </w:tcPr>
          <w:p w14:paraId="31F82ADE"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18915088"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w:t>
            </w:r>
            <w:proofErr w:type="spellStart"/>
            <w:r w:rsidRPr="00B128AE">
              <w:rPr>
                <w:b/>
                <w:sz w:val="22"/>
                <w:szCs w:val="22"/>
              </w:rPr>
              <w:t>lb</w:t>
            </w:r>
            <w:proofErr w:type="spellEnd"/>
            <w:r w:rsidRPr="00B128AE">
              <w:rPr>
                <w:b/>
                <w:sz w:val="22"/>
                <w:szCs w:val="22"/>
              </w:rPr>
              <w:t>/</w:t>
            </w:r>
            <w:proofErr w:type="spellStart"/>
            <w:r w:rsidRPr="00B128AE">
              <w:rPr>
                <w:b/>
                <w:sz w:val="22"/>
                <w:szCs w:val="22"/>
              </w:rPr>
              <w:t>hr</w:t>
            </w:r>
            <w:proofErr w:type="spellEnd"/>
            <w:r w:rsidRPr="00B128AE">
              <w:rPr>
                <w:b/>
                <w:sz w:val="22"/>
                <w:szCs w:val="22"/>
              </w:rPr>
              <w:t>)</w:t>
            </w:r>
          </w:p>
        </w:tc>
      </w:tr>
      <w:tr w:rsidR="00B128AE" w:rsidRPr="005922AF" w14:paraId="765976DF" w14:textId="77777777" w:rsidTr="00116E58">
        <w:tc>
          <w:tcPr>
            <w:tcW w:w="1890" w:type="dxa"/>
            <w:vAlign w:val="center"/>
          </w:tcPr>
          <w:p w14:paraId="21E27D4F" w14:textId="6EBD5FC5" w:rsidR="00B128AE" w:rsidRPr="00B128AE" w:rsidRDefault="00B128AE" w:rsidP="00116E58">
            <w:pPr>
              <w:rPr>
                <w:sz w:val="22"/>
                <w:szCs w:val="22"/>
              </w:rPr>
            </w:pPr>
            <w:r w:rsidRPr="00B128AE">
              <w:rPr>
                <w:sz w:val="22"/>
                <w:szCs w:val="22"/>
              </w:rPr>
              <w:t>Generator #</w:t>
            </w:r>
            <w:r w:rsidR="00C53128">
              <w:rPr>
                <w:sz w:val="22"/>
                <w:szCs w:val="22"/>
              </w:rPr>
              <w:t>1</w:t>
            </w:r>
          </w:p>
        </w:tc>
        <w:tc>
          <w:tcPr>
            <w:tcW w:w="925" w:type="dxa"/>
            <w:vAlign w:val="center"/>
          </w:tcPr>
          <w:p w14:paraId="08EE0ADB" w14:textId="50DE25C0"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926" w:type="dxa"/>
            <w:vAlign w:val="center"/>
          </w:tcPr>
          <w:p w14:paraId="2F232E27" w14:textId="07D0EEC6"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926" w:type="dxa"/>
            <w:vAlign w:val="center"/>
          </w:tcPr>
          <w:p w14:paraId="73AE69A7" w14:textId="1CB94D87"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1.19</w:t>
            </w:r>
          </w:p>
        </w:tc>
        <w:tc>
          <w:tcPr>
            <w:tcW w:w="925" w:type="dxa"/>
            <w:vAlign w:val="center"/>
          </w:tcPr>
          <w:p w14:paraId="0518238F" w14:textId="6D25BE52"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26" w:type="dxa"/>
            <w:vAlign w:val="center"/>
          </w:tcPr>
          <w:p w14:paraId="0A18CA0B" w14:textId="5BD01660"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31.68</w:t>
            </w:r>
          </w:p>
        </w:tc>
        <w:tc>
          <w:tcPr>
            <w:tcW w:w="926" w:type="dxa"/>
            <w:vAlign w:val="center"/>
          </w:tcPr>
          <w:p w14:paraId="740BB819" w14:textId="1CF4CEBA"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8.42</w:t>
            </w:r>
          </w:p>
        </w:tc>
        <w:tc>
          <w:tcPr>
            <w:tcW w:w="926" w:type="dxa"/>
            <w:vAlign w:val="center"/>
          </w:tcPr>
          <w:p w14:paraId="00A28874" w14:textId="2DDA07EA"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0.89</w:t>
            </w:r>
          </w:p>
        </w:tc>
      </w:tr>
      <w:tr w:rsidR="00B128AE" w:rsidRPr="005922AF" w14:paraId="70D89E44" w14:textId="77777777" w:rsidTr="00116E58">
        <w:tc>
          <w:tcPr>
            <w:tcW w:w="1890" w:type="dxa"/>
            <w:vAlign w:val="center"/>
          </w:tcPr>
          <w:p w14:paraId="613233B6" w14:textId="7210071E" w:rsidR="00B128AE" w:rsidRPr="00B128AE" w:rsidRDefault="00B128AE" w:rsidP="00116E58">
            <w:pPr>
              <w:rPr>
                <w:sz w:val="22"/>
                <w:szCs w:val="22"/>
              </w:rPr>
            </w:pPr>
            <w:r w:rsidRPr="00B128AE">
              <w:rPr>
                <w:sz w:val="22"/>
                <w:szCs w:val="22"/>
              </w:rPr>
              <w:t>Generator #</w:t>
            </w:r>
            <w:r w:rsidR="00C53128">
              <w:rPr>
                <w:sz w:val="22"/>
                <w:szCs w:val="22"/>
              </w:rPr>
              <w:t>2</w:t>
            </w:r>
          </w:p>
        </w:tc>
        <w:tc>
          <w:tcPr>
            <w:tcW w:w="925" w:type="dxa"/>
            <w:vAlign w:val="center"/>
          </w:tcPr>
          <w:p w14:paraId="5DF6A54E" w14:textId="05547C4A"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926" w:type="dxa"/>
            <w:vAlign w:val="center"/>
          </w:tcPr>
          <w:p w14:paraId="5A309985" w14:textId="0C359D43"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926" w:type="dxa"/>
            <w:vAlign w:val="center"/>
          </w:tcPr>
          <w:p w14:paraId="157E6AA5" w14:textId="0A54D4FC"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w:t>
            </w:r>
            <w:r w:rsidR="00C22EA6">
              <w:rPr>
                <w:sz w:val="22"/>
                <w:szCs w:val="22"/>
              </w:rPr>
              <w:t>12</w:t>
            </w:r>
          </w:p>
        </w:tc>
        <w:tc>
          <w:tcPr>
            <w:tcW w:w="925" w:type="dxa"/>
            <w:vAlign w:val="center"/>
          </w:tcPr>
          <w:p w14:paraId="2DCE01ED" w14:textId="6A6222F0"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26" w:type="dxa"/>
            <w:vAlign w:val="center"/>
          </w:tcPr>
          <w:p w14:paraId="532CAD99" w14:textId="42E63A9C"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4.23</w:t>
            </w:r>
          </w:p>
        </w:tc>
        <w:tc>
          <w:tcPr>
            <w:tcW w:w="926" w:type="dxa"/>
            <w:vAlign w:val="center"/>
          </w:tcPr>
          <w:p w14:paraId="740CB1E0" w14:textId="2AA3A4C2"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926" w:type="dxa"/>
            <w:vAlign w:val="center"/>
          </w:tcPr>
          <w:p w14:paraId="2610E2C6" w14:textId="1C6AA7DC" w:rsidR="00B128AE" w:rsidRPr="00B128AE" w:rsidRDefault="00825C48" w:rsidP="00116E58">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r>
    </w:tbl>
    <w:p w14:paraId="413C9CD3" w14:textId="77777777" w:rsidR="00CB169C" w:rsidRPr="005922AF" w:rsidRDefault="00CB169C" w:rsidP="00CB169C">
      <w:pPr>
        <w:ind w:left="720"/>
        <w:jc w:val="both"/>
        <w:rPr>
          <w:sz w:val="24"/>
        </w:rPr>
      </w:pPr>
    </w:p>
    <w:p w14:paraId="4D5929E3" w14:textId="2901049B" w:rsidR="005C568C" w:rsidRDefault="005C568C" w:rsidP="00F86E73">
      <w:pPr>
        <w:numPr>
          <w:ilvl w:val="0"/>
          <w:numId w:val="17"/>
        </w:numPr>
        <w:tabs>
          <w:tab w:val="left" w:pos="1080"/>
        </w:tabs>
        <w:contextualSpacing/>
        <w:jc w:val="both"/>
        <w:rPr>
          <w:sz w:val="24"/>
        </w:rPr>
      </w:pPr>
      <w:r w:rsidRPr="00E5534A">
        <w:rPr>
          <w:sz w:val="24"/>
        </w:rPr>
        <w:t xml:space="preserve">Generator #1 shall exhaust through a stack with a minimum height of </w:t>
      </w:r>
      <w:r w:rsidR="005A1121" w:rsidRPr="00E5534A">
        <w:rPr>
          <w:sz w:val="24"/>
        </w:rPr>
        <w:t>153</w:t>
      </w:r>
      <w:r w:rsidRPr="00E5534A">
        <w:rPr>
          <w:sz w:val="24"/>
        </w:rPr>
        <w:t xml:space="preserve"> feet above ground level</w:t>
      </w:r>
      <w:r w:rsidR="003676C3" w:rsidRPr="00E5534A">
        <w:rPr>
          <w:sz w:val="24"/>
        </w:rPr>
        <w:t xml:space="preserve"> due to the generator being located on the roof</w:t>
      </w:r>
      <w:r w:rsidRPr="00E5534A">
        <w:rPr>
          <w:sz w:val="24"/>
        </w:rPr>
        <w:t>. [06-096</w:t>
      </w:r>
      <w:r>
        <w:rPr>
          <w:sz w:val="24"/>
        </w:rPr>
        <w:t xml:space="preserve"> C.M.R. ch. 169, §</w:t>
      </w:r>
      <w:r w:rsidR="003676C3">
        <w:rPr>
          <w:sz w:val="24"/>
        </w:rPr>
        <w:t> </w:t>
      </w:r>
      <w:r>
        <w:rPr>
          <w:sz w:val="24"/>
        </w:rPr>
        <w:t>6(</w:t>
      </w:r>
      <w:r w:rsidR="005A1121">
        <w:rPr>
          <w:sz w:val="24"/>
        </w:rPr>
        <w:t>B</w:t>
      </w:r>
      <w:r>
        <w:rPr>
          <w:sz w:val="24"/>
        </w:rPr>
        <w:t>)]</w:t>
      </w:r>
    </w:p>
    <w:p w14:paraId="70A8BE22" w14:textId="77777777" w:rsidR="00EE3CB9" w:rsidRPr="00EE3CB9" w:rsidRDefault="00EE3CB9" w:rsidP="00EE3CB9">
      <w:pPr>
        <w:tabs>
          <w:tab w:val="left" w:pos="1080"/>
        </w:tabs>
        <w:ind w:left="1080"/>
        <w:contextualSpacing/>
        <w:jc w:val="both"/>
        <w:rPr>
          <w:sz w:val="24"/>
        </w:rPr>
      </w:pPr>
    </w:p>
    <w:p w14:paraId="149301EF" w14:textId="77777777" w:rsidR="00CB169C" w:rsidRDefault="00CB169C" w:rsidP="00F86E73">
      <w:pPr>
        <w:numPr>
          <w:ilvl w:val="0"/>
          <w:numId w:val="17"/>
        </w:numPr>
        <w:tabs>
          <w:tab w:val="left" w:pos="1080"/>
        </w:tabs>
        <w:contextualSpacing/>
        <w:jc w:val="both"/>
        <w:rPr>
          <w:sz w:val="24"/>
        </w:rPr>
      </w:pPr>
      <w:r>
        <w:rPr>
          <w:sz w:val="24"/>
        </w:rPr>
        <w:t>Visible Emissions</w:t>
      </w:r>
    </w:p>
    <w:p w14:paraId="66BDF0BC" w14:textId="77777777" w:rsidR="006C2DBE" w:rsidRDefault="006C2DBE" w:rsidP="006C2DBE">
      <w:pPr>
        <w:tabs>
          <w:tab w:val="left" w:pos="1080"/>
        </w:tabs>
        <w:ind w:left="1080"/>
        <w:contextualSpacing/>
        <w:jc w:val="both"/>
        <w:rPr>
          <w:sz w:val="24"/>
        </w:rPr>
      </w:pPr>
    </w:p>
    <w:p w14:paraId="065C80D0" w14:textId="3C5F3E2F" w:rsidR="00F02A4E" w:rsidRDefault="00F02A4E" w:rsidP="00F02A4E">
      <w:pPr>
        <w:pStyle w:val="BodyTextIndent3"/>
        <w:tabs>
          <w:tab w:val="left" w:pos="1080"/>
          <w:tab w:val="left" w:pos="1440"/>
          <w:tab w:val="left" w:pos="1800"/>
          <w:tab w:val="left" w:pos="2700"/>
        </w:tabs>
        <w:ind w:left="1080"/>
        <w:rPr>
          <w:szCs w:val="24"/>
        </w:rPr>
      </w:pPr>
      <w:r>
        <w:t>Visible emissions from</w:t>
      </w:r>
      <w:r w:rsidR="00ED7FBF">
        <w:t xml:space="preserve"> Generators #1 and #2 </w:t>
      </w:r>
      <w:r>
        <w:t>shall</w:t>
      </w:r>
      <w:r w:rsidR="00ED7FBF">
        <w:t xml:space="preserve"> each </w:t>
      </w:r>
      <w:r>
        <w:t>not exceed 20% opacity on a six-minute block average basis.</w:t>
      </w:r>
      <w:r>
        <w:rPr>
          <w:b/>
          <w:i/>
          <w:szCs w:val="24"/>
        </w:rPr>
        <w:t xml:space="preserve"> </w:t>
      </w:r>
      <w:r>
        <w:rPr>
          <w:szCs w:val="24"/>
        </w:rPr>
        <w:t xml:space="preserve">[06-096 C.M.R. ch. </w:t>
      </w:r>
      <w:r w:rsidR="00B118CF">
        <w:rPr>
          <w:szCs w:val="24"/>
        </w:rPr>
        <w:t>101</w:t>
      </w:r>
      <w:r>
        <w:rPr>
          <w:szCs w:val="24"/>
        </w:rPr>
        <w:t>,</w:t>
      </w:r>
      <w:r w:rsidR="00B118CF">
        <w:rPr>
          <w:szCs w:val="24"/>
        </w:rPr>
        <w:t xml:space="preserve"> § 4(A)(4)</w:t>
      </w:r>
      <w:r>
        <w:rPr>
          <w:szCs w:val="24"/>
        </w:rPr>
        <w:t>]</w:t>
      </w:r>
    </w:p>
    <w:p w14:paraId="6F203895" w14:textId="77777777" w:rsidR="00CB169C" w:rsidRPr="005922AF" w:rsidRDefault="00CB169C" w:rsidP="00CB169C">
      <w:pPr>
        <w:tabs>
          <w:tab w:val="left" w:pos="1080"/>
        </w:tabs>
        <w:ind w:left="720"/>
        <w:jc w:val="both"/>
        <w:rPr>
          <w:sz w:val="24"/>
        </w:rPr>
      </w:pPr>
    </w:p>
    <w:p w14:paraId="422791E2" w14:textId="6B24F264" w:rsidR="00CB169C" w:rsidRPr="00D47D97" w:rsidRDefault="00CB169C" w:rsidP="00F86E73">
      <w:pPr>
        <w:numPr>
          <w:ilvl w:val="0"/>
          <w:numId w:val="17"/>
        </w:numPr>
        <w:tabs>
          <w:tab w:val="left" w:pos="720"/>
          <w:tab w:val="left" w:pos="1080"/>
        </w:tabs>
        <w:contextualSpacing/>
        <w:jc w:val="both"/>
        <w:rPr>
          <w:sz w:val="24"/>
          <w:szCs w:val="24"/>
        </w:rPr>
      </w:pPr>
      <w:r w:rsidRPr="005922AF">
        <w:rPr>
          <w:sz w:val="24"/>
          <w:szCs w:val="24"/>
        </w:rPr>
        <w:t>Generators</w:t>
      </w:r>
      <w:r w:rsidR="005A1121">
        <w:rPr>
          <w:sz w:val="24"/>
          <w:szCs w:val="24"/>
        </w:rPr>
        <w:t xml:space="preserve"> #1 and #2 </w:t>
      </w:r>
      <w:r w:rsidRPr="005922AF">
        <w:rPr>
          <w:sz w:val="24"/>
          <w:szCs w:val="24"/>
        </w:rPr>
        <w:t>shall meet the applicable requirements of 40 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Part 60, Subpart IIII, including the following:</w:t>
      </w:r>
      <w:r w:rsidR="005A1121">
        <w:rPr>
          <w:sz w:val="24"/>
          <w:szCs w:val="24"/>
        </w:rPr>
        <w:t xml:space="preserve"> </w:t>
      </w:r>
      <w:r w:rsidR="00D47D97">
        <w:rPr>
          <w:sz w:val="24"/>
          <w:szCs w:val="24"/>
        </w:rPr>
        <w:t>[</w:t>
      </w:r>
      <w:r w:rsidR="00D47D97">
        <w:rPr>
          <w:sz w:val="24"/>
        </w:rPr>
        <w:t>incorporated under 06-096 C.M.R. ch. 115, BACT</w:t>
      </w:r>
      <w:r w:rsidR="00EE3CB9" w:rsidRPr="00EE3CB9">
        <w:rPr>
          <w:b/>
          <w:bCs/>
          <w:sz w:val="24"/>
        </w:rPr>
        <w:t xml:space="preserve"> </w:t>
      </w:r>
      <w:r w:rsidR="00EE3CB9" w:rsidRPr="005A1121">
        <w:rPr>
          <w:sz w:val="24"/>
        </w:rPr>
        <w:t xml:space="preserve">and </w:t>
      </w:r>
      <w:r w:rsidR="0015041F">
        <w:rPr>
          <w:sz w:val="24"/>
        </w:rPr>
        <w:t xml:space="preserve">06-096 C.M.R. </w:t>
      </w:r>
      <w:r w:rsidR="005A1121">
        <w:rPr>
          <w:sz w:val="24"/>
        </w:rPr>
        <w:t xml:space="preserve">ch. </w:t>
      </w:r>
      <w:r w:rsidR="00EE3CB9" w:rsidRPr="005A1121">
        <w:rPr>
          <w:sz w:val="24"/>
        </w:rPr>
        <w:t>169</w:t>
      </w:r>
      <w:r w:rsidR="00D47D97">
        <w:rPr>
          <w:sz w:val="24"/>
        </w:rPr>
        <w:t>]</w:t>
      </w:r>
    </w:p>
    <w:p w14:paraId="0314585B" w14:textId="77777777" w:rsidR="00CB169C" w:rsidRPr="005922AF" w:rsidRDefault="00CB169C" w:rsidP="00CB169C">
      <w:pPr>
        <w:tabs>
          <w:tab w:val="left" w:pos="1080"/>
          <w:tab w:val="left" w:pos="1440"/>
        </w:tabs>
        <w:ind w:left="1440" w:hanging="720"/>
        <w:jc w:val="both"/>
        <w:rPr>
          <w:sz w:val="24"/>
        </w:rPr>
      </w:pPr>
    </w:p>
    <w:p w14:paraId="3E8E58F3" w14:textId="77777777" w:rsidR="00CB169C" w:rsidRDefault="00CB169C" w:rsidP="00F73523">
      <w:pPr>
        <w:numPr>
          <w:ilvl w:val="0"/>
          <w:numId w:val="18"/>
        </w:numPr>
        <w:tabs>
          <w:tab w:val="left" w:pos="1080"/>
          <w:tab w:val="left" w:pos="1440"/>
        </w:tabs>
        <w:contextualSpacing/>
        <w:jc w:val="both"/>
        <w:rPr>
          <w:sz w:val="24"/>
        </w:rPr>
      </w:pPr>
      <w:r w:rsidRPr="002709EB">
        <w:rPr>
          <w:sz w:val="24"/>
        </w:rPr>
        <w:t xml:space="preserve">Manufacturer Certification </w:t>
      </w:r>
    </w:p>
    <w:p w14:paraId="75F73D77" w14:textId="1854CD59" w:rsidR="00CB169C" w:rsidRPr="002709EB" w:rsidRDefault="005A1121" w:rsidP="00CB169C">
      <w:pPr>
        <w:tabs>
          <w:tab w:val="left" w:pos="1080"/>
          <w:tab w:val="left" w:pos="1440"/>
        </w:tabs>
        <w:ind w:left="1440"/>
        <w:contextualSpacing/>
        <w:jc w:val="both"/>
        <w:rPr>
          <w:sz w:val="24"/>
        </w:rPr>
      </w:pPr>
      <w:r>
        <w:rPr>
          <w:sz w:val="24"/>
        </w:rPr>
        <w:t>Generators #1 and #2</w:t>
      </w:r>
      <w:r w:rsidR="00CB169C" w:rsidRPr="002709EB">
        <w:rPr>
          <w:sz w:val="24"/>
        </w:rPr>
        <w:t xml:space="preserve"> shall be certified by the manufacturer as meeting the emission standards for new nonroad compression igni</w:t>
      </w:r>
      <w:r w:rsidR="00013E2E">
        <w:rPr>
          <w:sz w:val="24"/>
        </w:rPr>
        <w:t>tion engines found in §</w:t>
      </w:r>
      <w:r w:rsidR="00A336DA">
        <w:rPr>
          <w:sz w:val="24"/>
        </w:rPr>
        <w:t xml:space="preserve"> </w:t>
      </w:r>
      <w:r w:rsidR="00013E2E">
        <w:rPr>
          <w:sz w:val="24"/>
        </w:rPr>
        <w:t>60.4202.</w:t>
      </w:r>
      <w:r w:rsidR="00CB169C" w:rsidRPr="002709EB">
        <w:rPr>
          <w:sz w:val="24"/>
        </w:rPr>
        <w:t xml:space="preserve"> [40</w:t>
      </w:r>
      <w:r w:rsidR="00027390">
        <w:rPr>
          <w:sz w:val="24"/>
        </w:rPr>
        <w:t> </w:t>
      </w:r>
      <w:r w:rsidR="00CB169C" w:rsidRPr="002709EB">
        <w:rPr>
          <w:sz w:val="24"/>
        </w:rPr>
        <w:t>C</w:t>
      </w:r>
      <w:r w:rsidR="000B45CD">
        <w:rPr>
          <w:sz w:val="24"/>
        </w:rPr>
        <w:t>.</w:t>
      </w:r>
      <w:r w:rsidR="00CB169C" w:rsidRPr="002709EB">
        <w:rPr>
          <w:sz w:val="24"/>
        </w:rPr>
        <w:t>F</w:t>
      </w:r>
      <w:r w:rsidR="000B45CD">
        <w:rPr>
          <w:sz w:val="24"/>
        </w:rPr>
        <w:t>.</w:t>
      </w:r>
      <w:r w:rsidR="00CB169C" w:rsidRPr="002709EB">
        <w:rPr>
          <w:sz w:val="24"/>
        </w:rPr>
        <w:t>R</w:t>
      </w:r>
      <w:r w:rsidR="000B45CD">
        <w:rPr>
          <w:sz w:val="24"/>
        </w:rPr>
        <w:t>.</w:t>
      </w:r>
      <w:r w:rsidR="00CB169C" w:rsidRPr="002709EB">
        <w:rPr>
          <w:sz w:val="24"/>
        </w:rPr>
        <w:t xml:space="preserve"> §</w:t>
      </w:r>
      <w:r w:rsidR="000B45CD">
        <w:rPr>
          <w:sz w:val="24"/>
        </w:rPr>
        <w:t xml:space="preserve"> </w:t>
      </w:r>
      <w:r w:rsidR="00CB169C" w:rsidRPr="002709EB">
        <w:rPr>
          <w:sz w:val="24"/>
        </w:rPr>
        <w:t xml:space="preserve">60.4205(b)] </w:t>
      </w:r>
      <w:r>
        <w:rPr>
          <w:sz w:val="24"/>
        </w:rPr>
        <w:t>Certifications were provided at the time of application and processing.</w:t>
      </w:r>
    </w:p>
    <w:p w14:paraId="28FDF13F" w14:textId="77777777" w:rsidR="00CB169C" w:rsidRPr="005922AF" w:rsidRDefault="00CB169C" w:rsidP="00CB169C">
      <w:pPr>
        <w:tabs>
          <w:tab w:val="left" w:pos="1080"/>
        </w:tabs>
        <w:ind w:left="1080" w:hanging="360"/>
        <w:jc w:val="both"/>
        <w:rPr>
          <w:sz w:val="24"/>
        </w:rPr>
      </w:pPr>
    </w:p>
    <w:p w14:paraId="311CD0D5" w14:textId="77777777" w:rsidR="00CB169C" w:rsidRPr="002709EB" w:rsidRDefault="00CB169C" w:rsidP="00F73523">
      <w:pPr>
        <w:numPr>
          <w:ilvl w:val="0"/>
          <w:numId w:val="18"/>
        </w:numPr>
        <w:tabs>
          <w:tab w:val="left" w:pos="1080"/>
          <w:tab w:val="left" w:pos="1440"/>
        </w:tabs>
        <w:contextualSpacing/>
        <w:jc w:val="both"/>
        <w:rPr>
          <w:sz w:val="24"/>
        </w:rPr>
      </w:pPr>
      <w:r>
        <w:rPr>
          <w:sz w:val="24"/>
          <w:szCs w:val="24"/>
        </w:rPr>
        <w:t xml:space="preserve">Ultra-Low Sulfur Fuel </w:t>
      </w:r>
    </w:p>
    <w:p w14:paraId="39845824" w14:textId="3E58DE7A" w:rsidR="00CB169C" w:rsidRPr="005922AF" w:rsidRDefault="00CB169C" w:rsidP="00CB169C">
      <w:pPr>
        <w:tabs>
          <w:tab w:val="left" w:pos="1080"/>
          <w:tab w:val="left" w:pos="1440"/>
        </w:tabs>
        <w:ind w:left="1440"/>
        <w:contextualSpacing/>
        <w:jc w:val="both"/>
        <w:rPr>
          <w:sz w:val="24"/>
        </w:rPr>
      </w:pPr>
      <w:r w:rsidRPr="005922AF">
        <w:rPr>
          <w:sz w:val="24"/>
          <w:szCs w:val="24"/>
        </w:rPr>
        <w:t xml:space="preserve">The fuel fired in </w:t>
      </w:r>
      <w:r w:rsidR="005A1121">
        <w:rPr>
          <w:sz w:val="24"/>
          <w:szCs w:val="24"/>
        </w:rPr>
        <w:t>Generators #1 and #2</w:t>
      </w:r>
      <w:r w:rsidRPr="005922AF">
        <w:rPr>
          <w:sz w:val="24"/>
          <w:szCs w:val="24"/>
        </w:rPr>
        <w:t xml:space="preserve"> shall not exceed</w:t>
      </w:r>
      <w:r w:rsidR="00CF659D">
        <w:rPr>
          <w:sz w:val="24"/>
          <w:szCs w:val="24"/>
        </w:rPr>
        <w:t xml:space="preserve"> 15 ppm sulfur (0.0015% sulfur)</w:t>
      </w:r>
      <w:r w:rsidR="00013E2E">
        <w:rPr>
          <w:sz w:val="24"/>
          <w:szCs w:val="24"/>
        </w:rPr>
        <w:t>.</w:t>
      </w:r>
      <w:r w:rsidRPr="005922AF">
        <w:rPr>
          <w:sz w:val="24"/>
          <w:szCs w:val="24"/>
        </w:rPr>
        <w:t xml:space="preserve"> </w:t>
      </w:r>
      <w:r w:rsidR="00C512A4" w:rsidRPr="005922AF">
        <w:rPr>
          <w:sz w:val="24"/>
          <w:szCs w:val="24"/>
        </w:rPr>
        <w:t xml:space="preserve">Compliance with the fuel sulfur content limit shall be </w:t>
      </w:r>
      <w:r w:rsidR="00C512A4">
        <w:rPr>
          <w:sz w:val="24"/>
          <w:szCs w:val="24"/>
        </w:rPr>
        <w:t xml:space="preserve">demonstrated by </w:t>
      </w:r>
      <w:r w:rsidR="00F90076">
        <w:rPr>
          <w:snapToGrid w:val="0"/>
          <w:sz w:val="24"/>
        </w:rPr>
        <w:t xml:space="preserve">fuel delivery receipts from the </w:t>
      </w:r>
      <w:r w:rsidR="00F90076" w:rsidRPr="00F90076">
        <w:rPr>
          <w:snapToGrid w:val="0"/>
          <w:sz w:val="24"/>
        </w:rPr>
        <w:t>supplier, fuel supplier certification, ce</w:t>
      </w:r>
      <w:r w:rsidR="00F90076">
        <w:rPr>
          <w:snapToGrid w:val="0"/>
          <w:sz w:val="24"/>
        </w:rPr>
        <w:t xml:space="preserve">rtificate of analysis, or testing </w:t>
      </w:r>
      <w:r w:rsidR="00005237">
        <w:rPr>
          <w:snapToGrid w:val="0"/>
          <w:sz w:val="24"/>
        </w:rPr>
        <w:t>of the fuel in the tank on-site</w:t>
      </w:r>
      <w:r w:rsidR="00C512A4">
        <w:rPr>
          <w:sz w:val="24"/>
          <w:szCs w:val="24"/>
        </w:rPr>
        <w:t>.</w:t>
      </w:r>
      <w:r w:rsidR="00C512A4" w:rsidRPr="005922AF">
        <w:rPr>
          <w:snapToGrid w:val="0"/>
          <w:sz w:val="24"/>
        </w:rPr>
        <w:t xml:space="preserve"> [</w:t>
      </w:r>
      <w:r w:rsidR="00C512A4" w:rsidRPr="005922AF">
        <w:rPr>
          <w:sz w:val="24"/>
          <w:szCs w:val="24"/>
        </w:rPr>
        <w:t>40 C</w:t>
      </w:r>
      <w:r w:rsidR="00C512A4">
        <w:rPr>
          <w:sz w:val="24"/>
          <w:szCs w:val="24"/>
        </w:rPr>
        <w:t>.</w:t>
      </w:r>
      <w:r w:rsidR="00C512A4" w:rsidRPr="005922AF">
        <w:rPr>
          <w:sz w:val="24"/>
          <w:szCs w:val="24"/>
        </w:rPr>
        <w:t>F</w:t>
      </w:r>
      <w:r w:rsidR="00C512A4">
        <w:rPr>
          <w:sz w:val="24"/>
          <w:szCs w:val="24"/>
        </w:rPr>
        <w:t>.</w:t>
      </w:r>
      <w:r w:rsidR="00C512A4" w:rsidRPr="005922AF">
        <w:rPr>
          <w:sz w:val="24"/>
          <w:szCs w:val="24"/>
        </w:rPr>
        <w:t>R</w:t>
      </w:r>
      <w:r w:rsidR="00C512A4">
        <w:rPr>
          <w:sz w:val="24"/>
          <w:szCs w:val="24"/>
        </w:rPr>
        <w:t>.</w:t>
      </w:r>
      <w:r w:rsidR="00C512A4" w:rsidRPr="005922AF">
        <w:rPr>
          <w:sz w:val="24"/>
          <w:szCs w:val="24"/>
        </w:rPr>
        <w:t xml:space="preserve"> §</w:t>
      </w:r>
      <w:r w:rsidR="00C512A4">
        <w:rPr>
          <w:sz w:val="24"/>
          <w:szCs w:val="24"/>
        </w:rPr>
        <w:t xml:space="preserve"> </w:t>
      </w:r>
      <w:r w:rsidR="00C512A4" w:rsidRPr="005922AF">
        <w:rPr>
          <w:sz w:val="24"/>
          <w:szCs w:val="24"/>
        </w:rPr>
        <w:t xml:space="preserve">60.4207(b) and </w:t>
      </w:r>
      <w:r w:rsidR="00C512A4" w:rsidRPr="005922AF">
        <w:rPr>
          <w:snapToGrid w:val="0"/>
          <w:sz w:val="24"/>
        </w:rPr>
        <w:t>06</w:t>
      </w:r>
      <w:r w:rsidR="00A336DA">
        <w:rPr>
          <w:snapToGrid w:val="0"/>
          <w:sz w:val="24"/>
        </w:rPr>
        <w:noBreakHyphen/>
      </w:r>
      <w:r w:rsidR="00C512A4" w:rsidRPr="005922AF">
        <w:rPr>
          <w:snapToGrid w:val="0"/>
          <w:sz w:val="24"/>
        </w:rPr>
        <w:t xml:space="preserve">096 </w:t>
      </w:r>
      <w:r w:rsidR="00C512A4">
        <w:rPr>
          <w:sz w:val="24"/>
        </w:rPr>
        <w:t xml:space="preserve">C.M.R. ch. </w:t>
      </w:r>
      <w:r w:rsidR="00C512A4" w:rsidRPr="005922AF">
        <w:rPr>
          <w:snapToGrid w:val="0"/>
          <w:sz w:val="24"/>
        </w:rPr>
        <w:t>115</w:t>
      </w:r>
      <w:r w:rsidR="00C512A4">
        <w:rPr>
          <w:snapToGrid w:val="0"/>
          <w:sz w:val="24"/>
        </w:rPr>
        <w:t>, BPT</w:t>
      </w:r>
      <w:r w:rsidRPr="005922AF">
        <w:rPr>
          <w:snapToGrid w:val="0"/>
          <w:sz w:val="24"/>
        </w:rPr>
        <w:t>]</w:t>
      </w:r>
    </w:p>
    <w:p w14:paraId="253631F9" w14:textId="77777777" w:rsidR="00CB169C" w:rsidRPr="005922AF" w:rsidRDefault="00CB169C" w:rsidP="00CB169C">
      <w:pPr>
        <w:tabs>
          <w:tab w:val="left" w:pos="1080"/>
        </w:tabs>
        <w:ind w:left="1080" w:hanging="360"/>
        <w:jc w:val="both"/>
        <w:rPr>
          <w:sz w:val="24"/>
        </w:rPr>
      </w:pPr>
    </w:p>
    <w:p w14:paraId="2B27EF94"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Non-Resettable Hour Meter </w:t>
      </w:r>
    </w:p>
    <w:p w14:paraId="361EDD9A" w14:textId="45C6197A" w:rsidR="00CB169C" w:rsidRPr="005922AF" w:rsidRDefault="00CB169C" w:rsidP="00CB169C">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sidR="00A50131">
        <w:rPr>
          <w:sz w:val="24"/>
          <w:szCs w:val="24"/>
        </w:rPr>
        <w:t>each</w:t>
      </w:r>
      <w:r w:rsidRPr="005922AF">
        <w:rPr>
          <w:sz w:val="24"/>
          <w:szCs w:val="24"/>
        </w:rPr>
        <w:t xml:space="preserve"> </w:t>
      </w:r>
      <w:r w:rsidR="004F7078">
        <w:rPr>
          <w:sz w:val="24"/>
          <w:szCs w:val="24"/>
        </w:rPr>
        <w:t>engine</w:t>
      </w:r>
      <w:r w:rsidR="00013E2E">
        <w:rPr>
          <w:sz w:val="24"/>
          <w:szCs w:val="24"/>
        </w:rPr>
        <w:t xml:space="preserve">. </w:t>
      </w:r>
      <w:r w:rsidRPr="005922AF">
        <w:rPr>
          <w:sz w:val="24"/>
          <w:szCs w:val="24"/>
        </w:rPr>
        <w:t>[40</w:t>
      </w:r>
      <w:r w:rsidR="00A336DA">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60.4209(a)]</w:t>
      </w:r>
    </w:p>
    <w:p w14:paraId="592838CE" w14:textId="77777777" w:rsidR="00CB169C" w:rsidRPr="005922AF" w:rsidRDefault="00CB169C" w:rsidP="00CB169C">
      <w:pPr>
        <w:tabs>
          <w:tab w:val="left" w:pos="1080"/>
          <w:tab w:val="left" w:pos="1440"/>
        </w:tabs>
        <w:ind w:left="1440" w:hanging="1440"/>
        <w:jc w:val="both"/>
        <w:rPr>
          <w:sz w:val="24"/>
          <w:szCs w:val="24"/>
        </w:rPr>
      </w:pPr>
    </w:p>
    <w:p w14:paraId="3F114C5E" w14:textId="77777777" w:rsidR="003676C3" w:rsidRDefault="003676C3">
      <w:pPr>
        <w:rPr>
          <w:sz w:val="24"/>
          <w:szCs w:val="24"/>
        </w:rPr>
      </w:pPr>
      <w:r>
        <w:rPr>
          <w:sz w:val="24"/>
          <w:szCs w:val="24"/>
        </w:rPr>
        <w:br w:type="page"/>
      </w:r>
    </w:p>
    <w:p w14:paraId="77182B32" w14:textId="05B9AC3D" w:rsidR="00CB169C" w:rsidRDefault="00CB169C" w:rsidP="00F73523">
      <w:pPr>
        <w:numPr>
          <w:ilvl w:val="0"/>
          <w:numId w:val="18"/>
        </w:numPr>
        <w:tabs>
          <w:tab w:val="left" w:pos="1080"/>
          <w:tab w:val="left" w:pos="1440"/>
        </w:tabs>
        <w:contextualSpacing/>
        <w:jc w:val="both"/>
        <w:rPr>
          <w:sz w:val="24"/>
          <w:szCs w:val="24"/>
        </w:rPr>
      </w:pPr>
      <w:r>
        <w:rPr>
          <w:sz w:val="24"/>
          <w:szCs w:val="24"/>
        </w:rPr>
        <w:lastRenderedPageBreak/>
        <w:t>Annual Time Limit for Maintenance and Testing</w:t>
      </w:r>
    </w:p>
    <w:p w14:paraId="753E20BC" w14:textId="08ADCDC3" w:rsidR="00CB169C" w:rsidRDefault="00897797" w:rsidP="005C568C">
      <w:pPr>
        <w:pStyle w:val="ListParagraph"/>
        <w:numPr>
          <w:ilvl w:val="0"/>
          <w:numId w:val="31"/>
        </w:numPr>
        <w:tabs>
          <w:tab w:val="left" w:pos="1080"/>
          <w:tab w:val="left" w:pos="1440"/>
        </w:tabs>
        <w:ind w:left="1800"/>
        <w:jc w:val="both"/>
        <w:rPr>
          <w:sz w:val="24"/>
          <w:szCs w:val="24"/>
        </w:rPr>
      </w:pPr>
      <w:r>
        <w:rPr>
          <w:sz w:val="24"/>
          <w:szCs w:val="24"/>
        </w:rPr>
        <w:t>As emergency engine</w:t>
      </w:r>
      <w:r w:rsidR="00A50131">
        <w:rPr>
          <w:sz w:val="24"/>
          <w:szCs w:val="24"/>
        </w:rPr>
        <w:t>s</w:t>
      </w:r>
      <w:r>
        <w:rPr>
          <w:sz w:val="24"/>
          <w:szCs w:val="24"/>
        </w:rPr>
        <w:t>, the unit</w:t>
      </w:r>
      <w:r w:rsidR="00A50131">
        <w:rPr>
          <w:sz w:val="24"/>
          <w:szCs w:val="24"/>
        </w:rPr>
        <w:t>s</w:t>
      </w:r>
      <w:r w:rsidRPr="005F008F">
        <w:rPr>
          <w:sz w:val="24"/>
          <w:szCs w:val="24"/>
        </w:rPr>
        <w:t xml:space="preserve"> </w:t>
      </w:r>
      <w:r w:rsidR="00CB169C" w:rsidRPr="00FF6B49">
        <w:rPr>
          <w:sz w:val="24"/>
          <w:szCs w:val="24"/>
        </w:rPr>
        <w:t xml:space="preserve">shall </w:t>
      </w:r>
      <w:r w:rsidR="00A50131">
        <w:rPr>
          <w:sz w:val="24"/>
          <w:szCs w:val="24"/>
        </w:rPr>
        <w:t>each</w:t>
      </w:r>
      <w:r w:rsidR="00CB169C" w:rsidRPr="00FF6B49">
        <w:rPr>
          <w:sz w:val="24"/>
          <w:szCs w:val="24"/>
        </w:rPr>
        <w:t xml:space="preserve"> be limited to 100 hours/year for maintenan</w:t>
      </w:r>
      <w:r w:rsidR="00594FEE">
        <w:rPr>
          <w:sz w:val="24"/>
          <w:szCs w:val="24"/>
        </w:rPr>
        <w:t>ce checks and readiness testing</w:t>
      </w:r>
      <w:r w:rsidR="00CB169C" w:rsidRPr="00FF6B49">
        <w:rPr>
          <w:sz w:val="24"/>
          <w:szCs w:val="24"/>
        </w:rPr>
        <w:t>. Up to 50</w:t>
      </w:r>
      <w:r w:rsidR="00027390">
        <w:rPr>
          <w:sz w:val="24"/>
          <w:szCs w:val="24"/>
        </w:rPr>
        <w:t> </w:t>
      </w:r>
      <w:r w:rsidR="00CB169C" w:rsidRPr="00FF6B49">
        <w:rPr>
          <w:sz w:val="24"/>
          <w:szCs w:val="24"/>
        </w:rPr>
        <w:t>hours/year of the 100</w:t>
      </w:r>
      <w:r w:rsidR="00A336DA">
        <w:rPr>
          <w:sz w:val="24"/>
          <w:szCs w:val="24"/>
        </w:rPr>
        <w:t> </w:t>
      </w:r>
      <w:r w:rsidR="00CB169C" w:rsidRPr="00FF6B49">
        <w:rPr>
          <w:sz w:val="24"/>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These </w:t>
      </w:r>
      <w:r w:rsidR="00CB169C" w:rsidRPr="00FF6B49">
        <w:rPr>
          <w:sz w:val="24"/>
        </w:rPr>
        <w:t>limits</w:t>
      </w:r>
      <w:r w:rsidR="00013E2E">
        <w:rPr>
          <w:sz w:val="24"/>
        </w:rPr>
        <w:t xml:space="preserve"> are based on a calendar year. </w:t>
      </w:r>
      <w:r w:rsidR="00CB169C" w:rsidRPr="00FF6B49">
        <w:rPr>
          <w:sz w:val="24"/>
        </w:rPr>
        <w:t xml:space="preserve">Compliance shall be demonstrated by </w:t>
      </w:r>
      <w:r w:rsidR="00E74E67">
        <w:rPr>
          <w:sz w:val="24"/>
        </w:rPr>
        <w:t>records (electronic or written log)</w:t>
      </w:r>
      <w:r w:rsidR="00CB169C" w:rsidRPr="00FF6B49">
        <w:rPr>
          <w:sz w:val="24"/>
        </w:rPr>
        <w:t xml:space="preserve"> of all </w:t>
      </w:r>
      <w:r w:rsidR="004F7078">
        <w:rPr>
          <w:sz w:val="24"/>
        </w:rPr>
        <w:t>engine</w:t>
      </w:r>
      <w:r w:rsidR="00CB169C" w:rsidRPr="00FF6B49">
        <w:rPr>
          <w:sz w:val="24"/>
        </w:rPr>
        <w:t xml:space="preserve"> operating hours.</w:t>
      </w:r>
      <w:r w:rsidR="00CB169C" w:rsidRPr="00FF6B49">
        <w:rPr>
          <w:sz w:val="24"/>
          <w:szCs w:val="24"/>
        </w:rPr>
        <w:t xml:space="preserve"> [40 C</w:t>
      </w:r>
      <w:r w:rsidR="000B45CD">
        <w:rPr>
          <w:sz w:val="24"/>
          <w:szCs w:val="24"/>
        </w:rPr>
        <w:t>.</w:t>
      </w:r>
      <w:r w:rsidR="00CB169C" w:rsidRPr="00FF6B49">
        <w:rPr>
          <w:sz w:val="24"/>
          <w:szCs w:val="24"/>
        </w:rPr>
        <w:t>F</w:t>
      </w:r>
      <w:r w:rsidR="000B45CD">
        <w:rPr>
          <w:sz w:val="24"/>
          <w:szCs w:val="24"/>
        </w:rPr>
        <w:t>.</w:t>
      </w:r>
      <w:r w:rsidR="00CB169C" w:rsidRPr="00FF6B49">
        <w:rPr>
          <w:sz w:val="24"/>
          <w:szCs w:val="24"/>
        </w:rPr>
        <w:t>R</w:t>
      </w:r>
      <w:r w:rsidR="000B45CD">
        <w:rPr>
          <w:sz w:val="24"/>
          <w:szCs w:val="24"/>
        </w:rPr>
        <w:t>.</w:t>
      </w:r>
      <w:r w:rsidR="00CB169C" w:rsidRPr="00FF6B49">
        <w:rPr>
          <w:sz w:val="24"/>
          <w:szCs w:val="24"/>
        </w:rPr>
        <w:t xml:space="preserve"> §</w:t>
      </w:r>
      <w:r w:rsidR="000B45CD">
        <w:rPr>
          <w:sz w:val="24"/>
          <w:szCs w:val="24"/>
        </w:rPr>
        <w:t xml:space="preserve"> </w:t>
      </w:r>
      <w:r w:rsidR="00CB169C" w:rsidRPr="00FF6B49">
        <w:rPr>
          <w:sz w:val="24"/>
          <w:szCs w:val="24"/>
        </w:rPr>
        <w:t>60.4211(f) and 06</w:t>
      </w:r>
      <w:r w:rsidR="00027390">
        <w:rPr>
          <w:sz w:val="24"/>
          <w:szCs w:val="24"/>
        </w:rPr>
        <w:noBreakHyphen/>
      </w:r>
      <w:r w:rsidR="00CB169C" w:rsidRPr="00FF6B49">
        <w:rPr>
          <w:sz w:val="24"/>
          <w:szCs w:val="24"/>
        </w:rPr>
        <w:t>096</w:t>
      </w:r>
      <w:r w:rsidR="00027390">
        <w:rPr>
          <w:sz w:val="24"/>
          <w:szCs w:val="24"/>
        </w:rPr>
        <w:t> </w:t>
      </w:r>
      <w:r w:rsidR="000B45CD">
        <w:rPr>
          <w:sz w:val="24"/>
        </w:rPr>
        <w:t>C.M.R. ch.</w:t>
      </w:r>
      <w:r w:rsidR="00A336DA">
        <w:rPr>
          <w:sz w:val="24"/>
        </w:rPr>
        <w:t> </w:t>
      </w:r>
      <w:r w:rsidR="00CB169C" w:rsidRPr="00FF6B49">
        <w:rPr>
          <w:sz w:val="24"/>
          <w:szCs w:val="24"/>
        </w:rPr>
        <w:t>115</w:t>
      </w:r>
      <w:r w:rsidR="000A60BA">
        <w:rPr>
          <w:sz w:val="24"/>
          <w:szCs w:val="24"/>
        </w:rPr>
        <w:t>, BPT</w:t>
      </w:r>
      <w:r w:rsidR="00CB169C" w:rsidRPr="00FF6B49">
        <w:rPr>
          <w:sz w:val="24"/>
          <w:szCs w:val="24"/>
        </w:rPr>
        <w:t>]</w:t>
      </w:r>
    </w:p>
    <w:p w14:paraId="6B7ACB00" w14:textId="77777777" w:rsidR="00CB169C" w:rsidRDefault="00CB169C" w:rsidP="00CB169C">
      <w:pPr>
        <w:pStyle w:val="ListParagraph"/>
        <w:tabs>
          <w:tab w:val="left" w:pos="1080"/>
          <w:tab w:val="left" w:pos="1440"/>
        </w:tabs>
        <w:ind w:left="1800"/>
        <w:jc w:val="both"/>
        <w:rPr>
          <w:sz w:val="24"/>
          <w:szCs w:val="24"/>
        </w:rPr>
      </w:pPr>
    </w:p>
    <w:p w14:paraId="60CA9ED5" w14:textId="344BBD70" w:rsidR="00CB169C" w:rsidRPr="00FF6B49" w:rsidRDefault="00A50131" w:rsidP="005C568C">
      <w:pPr>
        <w:pStyle w:val="ListParagraph"/>
        <w:numPr>
          <w:ilvl w:val="0"/>
          <w:numId w:val="31"/>
        </w:numPr>
        <w:tabs>
          <w:tab w:val="left" w:pos="1080"/>
          <w:tab w:val="left" w:pos="1440"/>
        </w:tabs>
        <w:ind w:left="1800"/>
        <w:jc w:val="both"/>
        <w:rPr>
          <w:sz w:val="24"/>
          <w:szCs w:val="24"/>
        </w:rPr>
      </w:pPr>
      <w:r>
        <w:rPr>
          <w:sz w:val="24"/>
          <w:szCs w:val="24"/>
        </w:rPr>
        <w:t>N</w:t>
      </w:r>
      <w:r w:rsidR="003676C3">
        <w:rPr>
          <w:sz w:val="24"/>
          <w:szCs w:val="24"/>
        </w:rPr>
        <w:t>ortheastern</w:t>
      </w:r>
      <w:r w:rsidR="00CB169C" w:rsidRPr="005922AF">
        <w:rPr>
          <w:sz w:val="24"/>
          <w:szCs w:val="24"/>
        </w:rPr>
        <w:t xml:space="preserve"> shall keep records that include the hours of operation of </w:t>
      </w:r>
      <w:r>
        <w:rPr>
          <w:sz w:val="24"/>
          <w:szCs w:val="24"/>
        </w:rPr>
        <w:t>each</w:t>
      </w:r>
      <w:r w:rsidR="00CB169C" w:rsidRPr="005922AF">
        <w:rPr>
          <w:sz w:val="24"/>
          <w:szCs w:val="24"/>
        </w:rPr>
        <w:t xml:space="preserve"> engine recorded through the non-resettable hour meter. </w:t>
      </w:r>
      <w:r w:rsidR="00F863FE">
        <w:rPr>
          <w:sz w:val="24"/>
          <w:szCs w:val="24"/>
        </w:rPr>
        <w:t xml:space="preserve">Documentation shall include the number of hours </w:t>
      </w:r>
      <w:r>
        <w:rPr>
          <w:sz w:val="24"/>
          <w:szCs w:val="24"/>
        </w:rPr>
        <w:t>each</w:t>
      </w:r>
      <w:r w:rsidR="00F863FE">
        <w:rPr>
          <w:sz w:val="24"/>
          <w:szCs w:val="24"/>
        </w:rPr>
        <w:t xml:space="preserve"> unit operated for emergency purposes, the number of hours </w:t>
      </w:r>
      <w:r>
        <w:rPr>
          <w:sz w:val="24"/>
          <w:szCs w:val="24"/>
        </w:rPr>
        <w:t>each</w:t>
      </w:r>
      <w:r w:rsidR="00F863FE">
        <w:rPr>
          <w:sz w:val="24"/>
          <w:szCs w:val="24"/>
        </w:rPr>
        <w:t xml:space="preserve"> unit operated for non-emergency purposes, and the reason </w:t>
      </w:r>
      <w:r>
        <w:rPr>
          <w:sz w:val="24"/>
          <w:szCs w:val="24"/>
        </w:rPr>
        <w:t>each</w:t>
      </w:r>
      <w:r w:rsidR="00F863FE">
        <w:rPr>
          <w:sz w:val="24"/>
          <w:szCs w:val="24"/>
        </w:rPr>
        <w:t xml:space="preserve"> engine was in operation during each time</w:t>
      </w:r>
      <w:r w:rsidR="00CB169C">
        <w:rPr>
          <w:sz w:val="24"/>
          <w:szCs w:val="24"/>
        </w:rPr>
        <w:t>.</w:t>
      </w:r>
      <w:r w:rsidR="007350F1" w:rsidRPr="007350F1">
        <w:rPr>
          <w:i/>
          <w:iCs/>
          <w:color w:val="00B050"/>
          <w:sz w:val="24"/>
          <w:szCs w:val="24"/>
        </w:rPr>
        <w:t xml:space="preserve"> </w:t>
      </w:r>
      <w:r w:rsidRPr="00A50131">
        <w:rPr>
          <w:sz w:val="24"/>
          <w:szCs w:val="24"/>
        </w:rPr>
        <w:t>N</w:t>
      </w:r>
      <w:r w:rsidR="003676C3">
        <w:rPr>
          <w:sz w:val="24"/>
          <w:szCs w:val="24"/>
        </w:rPr>
        <w:t>ortheastern</w:t>
      </w:r>
      <w:r w:rsidR="007350F1" w:rsidRPr="00FA178E">
        <w:rPr>
          <w:sz w:val="24"/>
        </w:rPr>
        <w:t xml:space="preserve"> shall maintain records of </w:t>
      </w:r>
      <w:r>
        <w:rPr>
          <w:sz w:val="24"/>
        </w:rPr>
        <w:t>Generator #1</w:t>
      </w:r>
      <w:r w:rsidR="007350F1" w:rsidRPr="00FA178E">
        <w:rPr>
          <w:sz w:val="24"/>
        </w:rPr>
        <w:t xml:space="preserve"> operating times on a 12-month rolling total basis. The 12-month rolling total encompassing January through December of each</w:t>
      </w:r>
      <w:r w:rsidR="00E9115A">
        <w:rPr>
          <w:sz w:val="24"/>
        </w:rPr>
        <w:t xml:space="preserve"> calendar</w:t>
      </w:r>
      <w:r w:rsidR="007350F1" w:rsidRPr="00FA178E">
        <w:rPr>
          <w:sz w:val="24"/>
        </w:rPr>
        <w:t xml:space="preserve"> year shall be used to demonstrate compliance with the annual time limit for maintenance and testing pursuant to 40 C.F.R. §</w:t>
      </w:r>
      <w:r w:rsidR="00592241">
        <w:rPr>
          <w:sz w:val="24"/>
        </w:rPr>
        <w:t> </w:t>
      </w:r>
      <w:r w:rsidR="007A5F56">
        <w:rPr>
          <w:sz w:val="24"/>
        </w:rPr>
        <w:t>60.4211(f)</w:t>
      </w:r>
      <w:r w:rsidR="007350F1" w:rsidRPr="00FA178E">
        <w:rPr>
          <w:sz w:val="24"/>
        </w:rPr>
        <w:t xml:space="preserve"> as described above</w:t>
      </w:r>
      <w:r w:rsidR="00E9115A">
        <w:rPr>
          <w:sz w:val="24"/>
        </w:rPr>
        <w:t>.</w:t>
      </w:r>
      <w:r w:rsidR="00F863FE">
        <w:rPr>
          <w:sz w:val="24"/>
          <w:szCs w:val="24"/>
        </w:rPr>
        <w:t xml:space="preserve"> [</w:t>
      </w:r>
      <w:bookmarkStart w:id="10" w:name="_Hlk129787738"/>
      <w:r w:rsidR="00F863FE">
        <w:rPr>
          <w:sz w:val="24"/>
          <w:szCs w:val="24"/>
        </w:rPr>
        <w:t>40 C.F.R. § 60.4214(b)</w:t>
      </w:r>
      <w:r w:rsidR="007350F1" w:rsidRPr="00A50131">
        <w:rPr>
          <w:sz w:val="24"/>
          <w:szCs w:val="24"/>
        </w:rPr>
        <w:t>,</w:t>
      </w:r>
      <w:r>
        <w:rPr>
          <w:sz w:val="24"/>
          <w:szCs w:val="24"/>
        </w:rPr>
        <w:t xml:space="preserve"> </w:t>
      </w:r>
      <w:r w:rsidR="00EE3CB9" w:rsidRPr="00A50131">
        <w:rPr>
          <w:sz w:val="24"/>
          <w:szCs w:val="24"/>
        </w:rPr>
        <w:t>06-096 C.M.R. ch. 169, §</w:t>
      </w:r>
      <w:r w:rsidR="007350F1" w:rsidRPr="00A50131">
        <w:rPr>
          <w:sz w:val="24"/>
          <w:szCs w:val="24"/>
        </w:rPr>
        <w:t> </w:t>
      </w:r>
      <w:r w:rsidR="00EE3CB9" w:rsidRPr="00A50131">
        <w:rPr>
          <w:sz w:val="24"/>
          <w:szCs w:val="24"/>
        </w:rPr>
        <w:t>4(B)(2)(c)</w:t>
      </w:r>
      <w:r w:rsidR="007350F1" w:rsidRPr="00A50131">
        <w:rPr>
          <w:sz w:val="24"/>
          <w:szCs w:val="24"/>
        </w:rPr>
        <w:t>, and 06</w:t>
      </w:r>
      <w:r>
        <w:rPr>
          <w:sz w:val="24"/>
          <w:szCs w:val="24"/>
        </w:rPr>
        <w:noBreakHyphen/>
      </w:r>
      <w:r w:rsidR="007350F1" w:rsidRPr="00A50131">
        <w:rPr>
          <w:sz w:val="24"/>
          <w:szCs w:val="24"/>
        </w:rPr>
        <w:t>096</w:t>
      </w:r>
      <w:r>
        <w:rPr>
          <w:sz w:val="24"/>
          <w:szCs w:val="24"/>
        </w:rPr>
        <w:t> </w:t>
      </w:r>
      <w:r w:rsidR="007350F1" w:rsidRPr="00A50131">
        <w:rPr>
          <w:sz w:val="24"/>
          <w:szCs w:val="24"/>
        </w:rPr>
        <w:t>C.M.R. ch. 115</w:t>
      </w:r>
      <w:bookmarkEnd w:id="10"/>
      <w:r w:rsidR="00F863FE">
        <w:rPr>
          <w:sz w:val="24"/>
          <w:szCs w:val="24"/>
        </w:rPr>
        <w:t>]</w:t>
      </w:r>
    </w:p>
    <w:p w14:paraId="583C3781" w14:textId="77777777" w:rsidR="00CB169C" w:rsidRPr="005922AF" w:rsidRDefault="00CB169C" w:rsidP="00CB169C">
      <w:pPr>
        <w:tabs>
          <w:tab w:val="left" w:pos="1080"/>
        </w:tabs>
        <w:ind w:left="1440" w:hanging="1440"/>
        <w:jc w:val="both"/>
        <w:rPr>
          <w:sz w:val="24"/>
          <w:szCs w:val="24"/>
        </w:rPr>
      </w:pPr>
    </w:p>
    <w:p w14:paraId="192A3FCF"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Operation and Maintenance </w:t>
      </w:r>
    </w:p>
    <w:p w14:paraId="04DEA9EA" w14:textId="5C690070" w:rsidR="00CB169C" w:rsidRDefault="0015041F" w:rsidP="00CB169C">
      <w:pPr>
        <w:tabs>
          <w:tab w:val="left" w:pos="1080"/>
          <w:tab w:val="left" w:pos="1440"/>
        </w:tabs>
        <w:ind w:left="1440"/>
        <w:contextualSpacing/>
        <w:jc w:val="both"/>
        <w:rPr>
          <w:sz w:val="24"/>
          <w:szCs w:val="24"/>
        </w:rPr>
      </w:pPr>
      <w:r>
        <w:rPr>
          <w:sz w:val="24"/>
          <w:szCs w:val="24"/>
        </w:rPr>
        <w:t xml:space="preserve">Generators #1 and #2 </w:t>
      </w:r>
      <w:r w:rsidR="00CB169C" w:rsidRPr="005922AF">
        <w:rPr>
          <w:sz w:val="24"/>
          <w:szCs w:val="24"/>
        </w:rPr>
        <w:t>shall be operated and maintained according to the manufacturer’s emission-related written instructions</w:t>
      </w:r>
      <w:r w:rsidR="00CB169C">
        <w:rPr>
          <w:sz w:val="24"/>
          <w:szCs w:val="24"/>
        </w:rPr>
        <w:t>.</w:t>
      </w:r>
      <w:r w:rsidR="00CB169C" w:rsidRPr="005922AF">
        <w:rPr>
          <w:sz w:val="24"/>
          <w:szCs w:val="24"/>
        </w:rPr>
        <w:t xml:space="preserve"> </w:t>
      </w:r>
      <w:r>
        <w:rPr>
          <w:sz w:val="24"/>
          <w:szCs w:val="24"/>
        </w:rPr>
        <w:t>N</w:t>
      </w:r>
      <w:r w:rsidR="003676C3">
        <w:rPr>
          <w:sz w:val="24"/>
          <w:szCs w:val="24"/>
        </w:rPr>
        <w:t>ortheastern</w:t>
      </w:r>
      <w:r w:rsidR="00CB169C" w:rsidRPr="005922AF">
        <w:rPr>
          <w:b/>
          <w:i/>
          <w:sz w:val="24"/>
          <w:szCs w:val="24"/>
        </w:rPr>
        <w:t xml:space="preserve"> </w:t>
      </w:r>
      <w:r w:rsidR="00CB169C" w:rsidRPr="005922AF">
        <w:rPr>
          <w:sz w:val="24"/>
          <w:szCs w:val="24"/>
        </w:rPr>
        <w:t>may only change those emission</w:t>
      </w:r>
      <w:r w:rsidR="00027390">
        <w:rPr>
          <w:sz w:val="24"/>
          <w:szCs w:val="24"/>
        </w:rPr>
        <w:noBreakHyphen/>
      </w:r>
      <w:r w:rsidR="00CB169C" w:rsidRPr="005922AF">
        <w:rPr>
          <w:sz w:val="24"/>
          <w:szCs w:val="24"/>
        </w:rPr>
        <w:t xml:space="preserve">related settings that are </w:t>
      </w:r>
      <w:r w:rsidR="00013E2E">
        <w:rPr>
          <w:sz w:val="24"/>
          <w:szCs w:val="24"/>
        </w:rPr>
        <w:t xml:space="preserve">permitted by the manufacturer. </w:t>
      </w:r>
      <w:r w:rsidR="00CB169C" w:rsidRPr="005922AF">
        <w:rPr>
          <w:sz w:val="24"/>
          <w:szCs w:val="24"/>
        </w:rPr>
        <w:t>[40</w:t>
      </w:r>
      <w:r w:rsidR="00027390">
        <w:rPr>
          <w:sz w:val="24"/>
          <w:szCs w:val="24"/>
        </w:rPr>
        <w:t> </w:t>
      </w:r>
      <w:r w:rsidR="00CB169C" w:rsidRPr="005922AF">
        <w:rPr>
          <w:sz w:val="24"/>
          <w:szCs w:val="24"/>
        </w:rPr>
        <w:t>C</w:t>
      </w:r>
      <w:r w:rsidR="000B45CD">
        <w:rPr>
          <w:sz w:val="24"/>
          <w:szCs w:val="24"/>
        </w:rPr>
        <w:t>.</w:t>
      </w:r>
      <w:r w:rsidR="00CB169C" w:rsidRPr="005922AF">
        <w:rPr>
          <w:sz w:val="24"/>
          <w:szCs w:val="24"/>
        </w:rPr>
        <w:t>F</w:t>
      </w:r>
      <w:r w:rsidR="000B45CD">
        <w:rPr>
          <w:sz w:val="24"/>
          <w:szCs w:val="24"/>
        </w:rPr>
        <w:t>.</w:t>
      </w:r>
      <w:r w:rsidR="00CB169C" w:rsidRPr="005922AF">
        <w:rPr>
          <w:sz w:val="24"/>
          <w:szCs w:val="24"/>
        </w:rPr>
        <w:t>R</w:t>
      </w:r>
      <w:r w:rsidR="000B45CD">
        <w:rPr>
          <w:sz w:val="24"/>
          <w:szCs w:val="24"/>
        </w:rPr>
        <w:t>.</w:t>
      </w:r>
      <w:r w:rsidR="00027390">
        <w:rPr>
          <w:sz w:val="24"/>
          <w:szCs w:val="24"/>
        </w:rPr>
        <w:t> </w:t>
      </w:r>
      <w:r w:rsidR="00CB169C" w:rsidRPr="005922AF">
        <w:rPr>
          <w:sz w:val="24"/>
          <w:szCs w:val="24"/>
        </w:rPr>
        <w:t>§</w:t>
      </w:r>
      <w:r w:rsidR="000B45CD">
        <w:rPr>
          <w:sz w:val="24"/>
          <w:szCs w:val="24"/>
        </w:rPr>
        <w:t> </w:t>
      </w:r>
      <w:r w:rsidR="00CB169C" w:rsidRPr="005922AF">
        <w:rPr>
          <w:sz w:val="24"/>
          <w:szCs w:val="24"/>
        </w:rPr>
        <w:t>60.4211(a)]</w:t>
      </w:r>
    </w:p>
    <w:p w14:paraId="6D2934F2" w14:textId="77777777" w:rsidR="0074115E" w:rsidRDefault="0074115E" w:rsidP="00CB169C">
      <w:pPr>
        <w:tabs>
          <w:tab w:val="left" w:pos="1080"/>
          <w:tab w:val="left" w:pos="1440"/>
        </w:tabs>
        <w:ind w:left="1440"/>
        <w:contextualSpacing/>
        <w:jc w:val="both"/>
        <w:rPr>
          <w:sz w:val="24"/>
          <w:szCs w:val="24"/>
        </w:rPr>
      </w:pPr>
    </w:p>
    <w:p w14:paraId="60E117EE" w14:textId="146BAB1D" w:rsidR="0074115E" w:rsidRPr="008E24B9" w:rsidRDefault="0015041F" w:rsidP="0074115E">
      <w:pPr>
        <w:pStyle w:val="BodyTextIndent"/>
        <w:tabs>
          <w:tab w:val="left" w:pos="1080"/>
          <w:tab w:val="left" w:pos="1440"/>
        </w:tabs>
        <w:ind w:left="1440"/>
        <w:jc w:val="both"/>
      </w:pPr>
      <w:r>
        <w:t>N</w:t>
      </w:r>
      <w:r w:rsidR="003676C3">
        <w:t>ortheastern</w:t>
      </w:r>
      <w:r w:rsidR="0074115E">
        <w:t xml:space="preserve"> shall have available for review by the Department a copy of the manufacturer’s emission-related written instructions for engine operation and maintenance. [06-096 C.M.R. ch. 115, BPT]</w:t>
      </w:r>
    </w:p>
    <w:p w14:paraId="72699AB9" w14:textId="77777777" w:rsidR="00CB169C" w:rsidRPr="005922AF" w:rsidRDefault="00CB169C" w:rsidP="00CB169C">
      <w:pPr>
        <w:jc w:val="both"/>
        <w:rPr>
          <w:sz w:val="24"/>
        </w:rPr>
      </w:pPr>
    </w:p>
    <w:p w14:paraId="46B91DEF" w14:textId="03E70D2F" w:rsidR="00AF0249" w:rsidRDefault="00AF0249" w:rsidP="00AF0249">
      <w:pPr>
        <w:pStyle w:val="Heading4"/>
      </w:pPr>
      <w:r>
        <w:t>Fugitive Emissions</w:t>
      </w:r>
      <w:r w:rsidR="003676C3">
        <w:t xml:space="preserve"> </w:t>
      </w:r>
      <w:r w:rsidR="003676C3">
        <w:rPr>
          <w:b w:val="0"/>
          <w:bCs/>
        </w:rPr>
        <w:t>[06-096 C.M.R. ch. 101, § 4(C)]</w:t>
      </w:r>
    </w:p>
    <w:p w14:paraId="46BE2594" w14:textId="77777777" w:rsidR="00AF0249" w:rsidRDefault="00AF0249" w:rsidP="00AF0249">
      <w:pPr>
        <w:pStyle w:val="BodyTextIndent3"/>
        <w:tabs>
          <w:tab w:val="left" w:pos="90"/>
        </w:tabs>
        <w:ind w:left="0"/>
        <w:rPr>
          <w:b/>
        </w:rPr>
      </w:pPr>
    </w:p>
    <w:p w14:paraId="2F6FDBE8" w14:textId="5C46F3BC" w:rsidR="00AF0249" w:rsidRPr="003676C3" w:rsidRDefault="00C53128" w:rsidP="00622542">
      <w:pPr>
        <w:pStyle w:val="BodyTextIndent3"/>
        <w:numPr>
          <w:ilvl w:val="0"/>
          <w:numId w:val="115"/>
        </w:numPr>
        <w:tabs>
          <w:tab w:val="left" w:pos="90"/>
        </w:tabs>
        <w:rPr>
          <w:b/>
        </w:rPr>
      </w:pPr>
      <w:bookmarkStart w:id="11" w:name="_Hlk146787125"/>
      <w:r w:rsidRPr="00C53128">
        <w:rPr>
          <w:szCs w:val="24"/>
        </w:rPr>
        <w:t>N</w:t>
      </w:r>
      <w:r w:rsidR="007E6F9B">
        <w:rPr>
          <w:szCs w:val="24"/>
        </w:rPr>
        <w:t>ortheastern</w:t>
      </w:r>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w:t>
      </w:r>
      <w:r>
        <w:rPr>
          <w:szCs w:val="24"/>
        </w:rPr>
        <w:t> </w:t>
      </w:r>
      <w:r w:rsidR="00AF0249">
        <w:rPr>
          <w:szCs w:val="24"/>
        </w:rPr>
        <w:t>4(C) for a list of potential reasonable precautions.</w:t>
      </w:r>
    </w:p>
    <w:p w14:paraId="147E105E" w14:textId="77777777" w:rsidR="003676C3" w:rsidRPr="00622542" w:rsidRDefault="003676C3" w:rsidP="003676C3">
      <w:pPr>
        <w:pStyle w:val="BodyTextIndent3"/>
        <w:tabs>
          <w:tab w:val="left" w:pos="90"/>
        </w:tabs>
        <w:ind w:left="1080"/>
        <w:rPr>
          <w:b/>
        </w:rPr>
      </w:pPr>
    </w:p>
    <w:p w14:paraId="715427CC" w14:textId="1244D001" w:rsidR="00AF0249" w:rsidRPr="00410F69" w:rsidRDefault="00C53128" w:rsidP="00A36952">
      <w:pPr>
        <w:pStyle w:val="ListParagraph"/>
        <w:numPr>
          <w:ilvl w:val="0"/>
          <w:numId w:val="115"/>
        </w:numPr>
        <w:jc w:val="both"/>
        <w:rPr>
          <w:b/>
        </w:rPr>
      </w:pPr>
      <w:r>
        <w:rPr>
          <w:sz w:val="24"/>
          <w:szCs w:val="24"/>
        </w:rPr>
        <w:t>N</w:t>
      </w:r>
      <w:r w:rsidR="007E6F9B">
        <w:rPr>
          <w:sz w:val="24"/>
          <w:szCs w:val="24"/>
        </w:rPr>
        <w:t>ortheastern</w:t>
      </w:r>
      <w:r w:rsidR="00AF0249" w:rsidRPr="00AF0249">
        <w:rPr>
          <w:sz w:val="24"/>
          <w:szCs w:val="24"/>
        </w:rPr>
        <w:t xml:space="preserve"> </w:t>
      </w:r>
      <w:proofErr w:type="gramStart"/>
      <w:r w:rsidR="00AF0249" w:rsidRPr="00410F69">
        <w:rPr>
          <w:sz w:val="24"/>
          <w:szCs w:val="24"/>
        </w:rPr>
        <w:t>shall</w:t>
      </w:r>
      <w:proofErr w:type="gramEnd"/>
      <w:r w:rsidR="00AF0249" w:rsidRPr="00410F69">
        <w:rPr>
          <w:sz w:val="24"/>
          <w:szCs w:val="24"/>
        </w:rPr>
        <w:t xml:space="preserve">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1"/>
    </w:p>
    <w:p w14:paraId="6BB00D89" w14:textId="10994EE4" w:rsidR="004970E8" w:rsidRDefault="004970E8" w:rsidP="004970E8">
      <w:pPr>
        <w:pStyle w:val="Heading4"/>
        <w:jc w:val="both"/>
        <w:rPr>
          <w:b w:val="0"/>
          <w:bCs/>
        </w:rPr>
      </w:pPr>
      <w:r>
        <w:rPr>
          <w:b w:val="0"/>
          <w:bCs/>
        </w:rPr>
        <w:lastRenderedPageBreak/>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C53128">
        <w:rPr>
          <w:b w:val="0"/>
          <w:bCs/>
        </w:rPr>
        <w:t>N</w:t>
      </w:r>
      <w:r w:rsidR="007E6F9B">
        <w:rPr>
          <w:b w:val="0"/>
          <w:bCs/>
        </w:rPr>
        <w:t>ortheastern</w:t>
      </w:r>
      <w:r>
        <w:rPr>
          <w:b w:val="0"/>
          <w:bCs/>
        </w:rPr>
        <w:t xml:space="preserve"> may be required to submit additional information. Upon written request from the Department, </w:t>
      </w:r>
      <w:r w:rsidR="00C53128">
        <w:rPr>
          <w:b w:val="0"/>
          <w:bCs/>
        </w:rPr>
        <w:t>N</w:t>
      </w:r>
      <w:r w:rsidR="007E6F9B">
        <w:rPr>
          <w:b w:val="0"/>
          <w:bCs/>
        </w:rPr>
        <w:t>ortheastern</w:t>
      </w:r>
      <w:r>
        <w:rPr>
          <w:b w:val="0"/>
          <w:bCs/>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5C04301D" w14:textId="77777777" w:rsidR="004970E8" w:rsidRPr="00CA4C86" w:rsidRDefault="004970E8" w:rsidP="00CA4C86">
      <w:pPr>
        <w:ind w:left="720"/>
        <w:jc w:val="both"/>
        <w:rPr>
          <w:b/>
          <w:sz w:val="24"/>
          <w:szCs w:val="24"/>
        </w:rPr>
      </w:pPr>
      <w:r w:rsidRPr="00CA4C86">
        <w:rPr>
          <w:sz w:val="24"/>
          <w:szCs w:val="24"/>
        </w:rPr>
        <w:t xml:space="preserve">[06-096 C.M.R. ch. 115, § 2(O)] </w:t>
      </w:r>
    </w:p>
    <w:p w14:paraId="27B69F61" w14:textId="77777777" w:rsidR="004970E8" w:rsidRDefault="004970E8" w:rsidP="00DF540B">
      <w:pPr>
        <w:jc w:val="both"/>
        <w:rPr>
          <w:sz w:val="24"/>
        </w:rPr>
      </w:pPr>
    </w:p>
    <w:p w14:paraId="1CCCDF5E" w14:textId="51524C63" w:rsidR="00044AA4" w:rsidRDefault="00044AA4">
      <w:pPr>
        <w:jc w:val="both"/>
        <w:rPr>
          <w:sz w:val="24"/>
        </w:rPr>
      </w:pPr>
    </w:p>
    <w:p w14:paraId="7AA1D84F" w14:textId="39DB9784" w:rsidR="00044AA4" w:rsidRDefault="00E82D30">
      <w:pPr>
        <w:jc w:val="both"/>
      </w:pPr>
      <w:r>
        <w:rPr>
          <w:noProof/>
          <w:u w:val="single"/>
        </w:rPr>
        <w:drawing>
          <wp:anchor distT="0" distB="0" distL="114300" distR="114300" simplePos="0" relativeHeight="251658240" behindDoc="1" locked="0" layoutInCell="1" allowOverlap="1" wp14:anchorId="0C6B8672" wp14:editId="5CDC3199">
            <wp:simplePos x="0" y="0"/>
            <wp:positionH relativeFrom="column">
              <wp:posOffset>144780</wp:posOffset>
            </wp:positionH>
            <wp:positionV relativeFrom="paragraph">
              <wp:posOffset>7620</wp:posOffset>
            </wp:positionV>
            <wp:extent cx="3543300" cy="1781175"/>
            <wp:effectExtent l="0" t="0" r="0" b="9525"/>
            <wp:wrapNone/>
            <wp:docPr id="1671855594"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55594" name="Picture 1" descr="Signature&#10;"/>
                    <pic:cNvPicPr/>
                  </pic:nvPicPr>
                  <pic:blipFill>
                    <a:blip r:embed="rId9">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2</w:t>
      </w:r>
      <w:r w:rsidRPr="00E82D30">
        <w:rPr>
          <w:sz w:val="28"/>
          <w:szCs w:val="28"/>
          <w:vertAlign w:val="superscript"/>
        </w:rPr>
        <w:t>nd</w:t>
      </w:r>
      <w:r>
        <w:rPr>
          <w:sz w:val="28"/>
          <w:szCs w:val="28"/>
        </w:rPr>
        <w:t xml:space="preserve"> </w:t>
      </w:r>
      <w:r w:rsidR="00044AA4">
        <w:t xml:space="preserve">DAY OF </w:t>
      </w:r>
      <w:proofErr w:type="gramStart"/>
      <w:r>
        <w:rPr>
          <w:sz w:val="28"/>
          <w:szCs w:val="28"/>
        </w:rPr>
        <w:t>APRIL</w:t>
      </w:r>
      <w:r w:rsidR="00CC1814" w:rsidRPr="007D44AB">
        <w:rPr>
          <w:sz w:val="28"/>
          <w:szCs w:val="28"/>
        </w:rPr>
        <w:t>,</w:t>
      </w:r>
      <w:proofErr w:type="gramEnd"/>
      <w:r w:rsidR="000B3B7D">
        <w:rPr>
          <w:sz w:val="28"/>
          <w:szCs w:val="28"/>
        </w:rPr>
        <w:t xml:space="preserve"> </w:t>
      </w:r>
      <w:r w:rsidR="00C53128">
        <w:rPr>
          <w:sz w:val="28"/>
          <w:szCs w:val="28"/>
        </w:rPr>
        <w:t>2026</w:t>
      </w:r>
      <w:r w:rsidR="00044AA4">
        <w:t>.</w:t>
      </w:r>
    </w:p>
    <w:p w14:paraId="2DF453A0" w14:textId="63D7C29D" w:rsidR="00044AA4" w:rsidRDefault="00044AA4">
      <w:pPr>
        <w:jc w:val="both"/>
      </w:pPr>
    </w:p>
    <w:p w14:paraId="1138DD98" w14:textId="77777777" w:rsidR="00044AA4" w:rsidRDefault="00044AA4">
      <w:pPr>
        <w:jc w:val="both"/>
      </w:pPr>
      <w:r>
        <w:t>DEPARTMENT OF ENVIRONMENTAL PROTECTION</w:t>
      </w:r>
    </w:p>
    <w:p w14:paraId="4D99DA19" w14:textId="77777777" w:rsidR="00044AA4" w:rsidRDefault="00044AA4">
      <w:pPr>
        <w:jc w:val="both"/>
      </w:pPr>
    </w:p>
    <w:p w14:paraId="2250CEAB" w14:textId="0B3B8EB1" w:rsidR="00044AA4" w:rsidRDefault="00044AA4">
      <w:pPr>
        <w:jc w:val="both"/>
      </w:pPr>
    </w:p>
    <w:p w14:paraId="11154AF1" w14:textId="7333D31C"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78E8CAB3"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15B53C5A" w14:textId="77777777" w:rsidR="00044AA4" w:rsidRDefault="00044AA4">
      <w:pPr>
        <w:jc w:val="both"/>
        <w:rPr>
          <w:sz w:val="24"/>
        </w:rPr>
      </w:pPr>
    </w:p>
    <w:p w14:paraId="64D8FDF8"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5C626198" w14:textId="77777777" w:rsidR="00FD7B8C" w:rsidRDefault="00FD7B8C" w:rsidP="00DB6671">
      <w:pPr>
        <w:pStyle w:val="BodyText3"/>
      </w:pPr>
    </w:p>
    <w:p w14:paraId="4546EBD8"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4CD29F53" w14:textId="77777777" w:rsidR="00044AA4" w:rsidRDefault="00044AA4">
      <w:pPr>
        <w:jc w:val="center"/>
        <w:rPr>
          <w:sz w:val="22"/>
        </w:rPr>
      </w:pPr>
    </w:p>
    <w:p w14:paraId="47371588" w14:textId="77777777" w:rsidR="00044AA4" w:rsidRDefault="00044AA4">
      <w:pPr>
        <w:jc w:val="center"/>
        <w:rPr>
          <w:sz w:val="24"/>
        </w:rPr>
      </w:pPr>
      <w:r>
        <w:rPr>
          <w:sz w:val="22"/>
        </w:rPr>
        <w:t>PLEASE NOTE ATTACHED SHEET FOR GUIDANCE ON APPEAL PROCEDURES</w:t>
      </w:r>
    </w:p>
    <w:p w14:paraId="2741EF34" w14:textId="77777777" w:rsidR="00044AA4" w:rsidRDefault="00044AA4">
      <w:pPr>
        <w:jc w:val="both"/>
        <w:rPr>
          <w:sz w:val="24"/>
        </w:rPr>
      </w:pPr>
    </w:p>
    <w:p w14:paraId="27826DD7" w14:textId="6E1041AF" w:rsidR="00044AA4" w:rsidRDefault="00044AA4">
      <w:pPr>
        <w:jc w:val="both"/>
        <w:rPr>
          <w:sz w:val="24"/>
          <w:u w:val="single"/>
        </w:rPr>
      </w:pPr>
      <w:r>
        <w:rPr>
          <w:sz w:val="24"/>
        </w:rPr>
        <w:t>Date of initial receipt of application</w:t>
      </w:r>
      <w:proofErr w:type="gramStart"/>
      <w:r>
        <w:rPr>
          <w:sz w:val="24"/>
        </w:rPr>
        <w:t>:</w:t>
      </w:r>
      <w:r>
        <w:rPr>
          <w:sz w:val="24"/>
          <w:u w:val="single"/>
        </w:rPr>
        <w:tab/>
      </w:r>
      <w:r>
        <w:rPr>
          <w:sz w:val="24"/>
          <w:u w:val="single"/>
        </w:rPr>
        <w:tab/>
      </w:r>
      <w:r w:rsidR="00C53128">
        <w:rPr>
          <w:sz w:val="24"/>
          <w:u w:val="single"/>
        </w:rPr>
        <w:t>January</w:t>
      </w:r>
      <w:proofErr w:type="gramEnd"/>
      <w:r w:rsidR="00C53128">
        <w:rPr>
          <w:sz w:val="24"/>
          <w:u w:val="single"/>
        </w:rPr>
        <w:t xml:space="preserve"> 16, 2026</w:t>
      </w:r>
    </w:p>
    <w:p w14:paraId="51BCA3AD" w14:textId="7951DF14" w:rsidR="000D08CC" w:rsidRDefault="00044AA4" w:rsidP="000D08CC">
      <w:pPr>
        <w:jc w:val="both"/>
        <w:rPr>
          <w:sz w:val="24"/>
          <w:u w:val="single"/>
        </w:rPr>
      </w:pPr>
      <w:r>
        <w:rPr>
          <w:sz w:val="24"/>
        </w:rPr>
        <w:t>Date of application acceptance</w:t>
      </w:r>
      <w:proofErr w:type="gramStart"/>
      <w:r w:rsidR="000D08CC">
        <w:rPr>
          <w:sz w:val="24"/>
        </w:rPr>
        <w:t>:</w:t>
      </w:r>
      <w:r w:rsidR="000D08CC">
        <w:rPr>
          <w:sz w:val="24"/>
          <w:u w:val="single"/>
        </w:rPr>
        <w:tab/>
      </w:r>
      <w:r w:rsidR="000D08CC">
        <w:rPr>
          <w:sz w:val="24"/>
          <w:u w:val="single"/>
        </w:rPr>
        <w:tab/>
      </w:r>
      <w:r w:rsidR="00C53128">
        <w:rPr>
          <w:sz w:val="24"/>
          <w:u w:val="single"/>
        </w:rPr>
        <w:t>January</w:t>
      </w:r>
      <w:proofErr w:type="gramEnd"/>
      <w:r w:rsidR="00C53128">
        <w:rPr>
          <w:sz w:val="24"/>
          <w:u w:val="single"/>
        </w:rPr>
        <w:t xml:space="preserve"> 20, 2026</w:t>
      </w:r>
    </w:p>
    <w:p w14:paraId="4CE00421" w14:textId="77777777" w:rsidR="00044AA4" w:rsidRDefault="00044AA4">
      <w:pPr>
        <w:jc w:val="both"/>
        <w:rPr>
          <w:sz w:val="24"/>
        </w:rPr>
      </w:pPr>
    </w:p>
    <w:p w14:paraId="51F53EA8" w14:textId="3BA49BE1" w:rsidR="00044AA4" w:rsidRDefault="00044AA4">
      <w:pPr>
        <w:jc w:val="both"/>
      </w:pPr>
      <w:r>
        <w:t>This Order prepared by</w:t>
      </w:r>
      <w:r w:rsidR="00C730BB">
        <w:t xml:space="preserve"> </w:t>
      </w:r>
      <w:r w:rsidR="00C53128">
        <w:t>Zac Hicks</w:t>
      </w:r>
      <w:r>
        <w:t>, Bureau of Air Quality.</w:t>
      </w:r>
    </w:p>
    <w:sectPr w:rsidR="00044AA4" w:rsidSect="007E665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3E4A" w14:textId="77777777" w:rsidR="00FC1838" w:rsidRDefault="00FC1838">
      <w:r>
        <w:separator/>
      </w:r>
    </w:p>
  </w:endnote>
  <w:endnote w:type="continuationSeparator" w:id="0">
    <w:p w14:paraId="6A3685F5" w14:textId="77777777" w:rsidR="00FC1838" w:rsidRDefault="00FC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6148" w14:textId="77777777" w:rsidR="007B095A" w:rsidRDefault="007B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C23D" w14:textId="77777777" w:rsidR="00ED213D" w:rsidRDefault="00ED213D">
    <w:pPr>
      <w:pStyle w:val="Footer"/>
      <w:tabs>
        <w:tab w:val="clear" w:pos="4320"/>
        <w:tab w:val="clear" w:pos="8640"/>
        <w:tab w:val="center" w:pos="2160"/>
        <w:tab w:val="left" w:pos="3600"/>
        <w:tab w:val="right" w:pos="6480"/>
      </w:tabs>
      <w:rPr>
        <w:b/>
        <w:sz w:val="24"/>
      </w:rPr>
    </w:pPr>
  </w:p>
  <w:p w14:paraId="363A603F" w14:textId="77777777" w:rsidR="00ED213D" w:rsidRDefault="00ED2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8F37"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158E" w14:textId="77777777" w:rsidR="00FC1838" w:rsidRDefault="00FC1838">
      <w:r>
        <w:separator/>
      </w:r>
    </w:p>
  </w:footnote>
  <w:footnote w:type="continuationSeparator" w:id="0">
    <w:p w14:paraId="256B6C65" w14:textId="77777777" w:rsidR="00FC1838" w:rsidRDefault="00FC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4DE6" w14:textId="77777777" w:rsidR="007B095A" w:rsidRDefault="007B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0258CE5D" w14:textId="77777777" w:rsidTr="00733619">
      <w:tc>
        <w:tcPr>
          <w:tcW w:w="4050" w:type="dxa"/>
        </w:tcPr>
        <w:p w14:paraId="2D4F4AFF" w14:textId="0BE1F94C" w:rsidR="00ED213D" w:rsidRDefault="00753466">
          <w:pPr>
            <w:jc w:val="both"/>
            <w:rPr>
              <w:b/>
              <w:sz w:val="24"/>
            </w:rPr>
          </w:pPr>
          <w:r>
            <w:rPr>
              <w:b/>
              <w:sz w:val="24"/>
            </w:rPr>
            <w:t>Northeastern University</w:t>
          </w:r>
        </w:p>
      </w:tc>
      <w:tc>
        <w:tcPr>
          <w:tcW w:w="720" w:type="dxa"/>
          <w:tcBorders>
            <w:right w:val="single" w:sz="4" w:space="0" w:color="auto"/>
          </w:tcBorders>
        </w:tcPr>
        <w:p w14:paraId="55FCD15B" w14:textId="77777777" w:rsidR="00ED213D" w:rsidRDefault="00ED213D">
          <w:pPr>
            <w:jc w:val="center"/>
            <w:rPr>
              <w:b/>
              <w:sz w:val="24"/>
            </w:rPr>
          </w:pPr>
        </w:p>
      </w:tc>
      <w:tc>
        <w:tcPr>
          <w:tcW w:w="720" w:type="dxa"/>
          <w:gridSpan w:val="2"/>
          <w:tcBorders>
            <w:left w:val="nil"/>
          </w:tcBorders>
        </w:tcPr>
        <w:p w14:paraId="5EF87D27" w14:textId="77777777" w:rsidR="00ED213D" w:rsidRDefault="00ED213D">
          <w:pPr>
            <w:jc w:val="center"/>
            <w:rPr>
              <w:b/>
              <w:sz w:val="24"/>
            </w:rPr>
          </w:pPr>
        </w:p>
      </w:tc>
      <w:tc>
        <w:tcPr>
          <w:tcW w:w="3960" w:type="dxa"/>
        </w:tcPr>
        <w:p w14:paraId="7DE62CFC" w14:textId="77777777" w:rsidR="00ED213D" w:rsidRDefault="00ED213D">
          <w:pPr>
            <w:jc w:val="center"/>
            <w:rPr>
              <w:b/>
              <w:sz w:val="24"/>
            </w:rPr>
          </w:pPr>
          <w:r>
            <w:rPr>
              <w:b/>
              <w:sz w:val="24"/>
            </w:rPr>
            <w:t>Departmental</w:t>
          </w:r>
        </w:p>
      </w:tc>
    </w:tr>
    <w:tr w:rsidR="00ED213D" w14:paraId="3C6E32B0" w14:textId="77777777" w:rsidTr="00733619">
      <w:tc>
        <w:tcPr>
          <w:tcW w:w="4050" w:type="dxa"/>
        </w:tcPr>
        <w:p w14:paraId="23F1815B" w14:textId="4D087636" w:rsidR="00ED213D" w:rsidRDefault="00753466">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02FC430D" w14:textId="77777777" w:rsidR="00ED213D" w:rsidRDefault="00ED213D">
          <w:pPr>
            <w:jc w:val="center"/>
            <w:rPr>
              <w:b/>
              <w:sz w:val="24"/>
            </w:rPr>
          </w:pPr>
        </w:p>
      </w:tc>
      <w:tc>
        <w:tcPr>
          <w:tcW w:w="720" w:type="dxa"/>
          <w:gridSpan w:val="2"/>
          <w:tcBorders>
            <w:left w:val="nil"/>
          </w:tcBorders>
        </w:tcPr>
        <w:p w14:paraId="22A4FCAD" w14:textId="77777777" w:rsidR="00ED213D" w:rsidRDefault="00ED213D">
          <w:pPr>
            <w:jc w:val="center"/>
            <w:rPr>
              <w:b/>
              <w:sz w:val="24"/>
            </w:rPr>
          </w:pPr>
        </w:p>
      </w:tc>
      <w:tc>
        <w:tcPr>
          <w:tcW w:w="3960" w:type="dxa"/>
        </w:tcPr>
        <w:p w14:paraId="2E7E401C" w14:textId="77777777" w:rsidR="00ED213D" w:rsidRDefault="00ED213D">
          <w:pPr>
            <w:jc w:val="center"/>
            <w:rPr>
              <w:b/>
              <w:sz w:val="24"/>
            </w:rPr>
          </w:pPr>
          <w:r>
            <w:rPr>
              <w:b/>
              <w:sz w:val="24"/>
            </w:rPr>
            <w:t>Findings of Fact and Order</w:t>
          </w:r>
        </w:p>
      </w:tc>
    </w:tr>
    <w:tr w:rsidR="00ED213D" w14:paraId="25503168" w14:textId="77777777" w:rsidTr="00733619">
      <w:tc>
        <w:tcPr>
          <w:tcW w:w="4050" w:type="dxa"/>
        </w:tcPr>
        <w:p w14:paraId="6A9B4C79" w14:textId="2EA04C9F" w:rsidR="00ED213D" w:rsidRDefault="00753466">
          <w:pPr>
            <w:jc w:val="both"/>
            <w:rPr>
              <w:b/>
              <w:sz w:val="24"/>
            </w:rPr>
          </w:pPr>
          <w:r>
            <w:rPr>
              <w:b/>
              <w:sz w:val="24"/>
            </w:rPr>
            <w:t>Portland</w:t>
          </w:r>
          <w:r w:rsidR="00ED213D">
            <w:rPr>
              <w:b/>
              <w:sz w:val="24"/>
            </w:rPr>
            <w:t>, Maine</w:t>
          </w:r>
        </w:p>
      </w:tc>
      <w:tc>
        <w:tcPr>
          <w:tcW w:w="720" w:type="dxa"/>
          <w:tcBorders>
            <w:right w:val="single" w:sz="4" w:space="0" w:color="auto"/>
          </w:tcBorders>
        </w:tcPr>
        <w:p w14:paraId="62D1A32F" w14:textId="77777777" w:rsidR="00ED213D" w:rsidRDefault="00ED213D">
          <w:pPr>
            <w:jc w:val="center"/>
            <w:rPr>
              <w:b/>
              <w:sz w:val="24"/>
            </w:rPr>
          </w:pPr>
        </w:p>
      </w:tc>
      <w:tc>
        <w:tcPr>
          <w:tcW w:w="720" w:type="dxa"/>
          <w:gridSpan w:val="2"/>
          <w:tcBorders>
            <w:left w:val="nil"/>
          </w:tcBorders>
        </w:tcPr>
        <w:p w14:paraId="1F6E2B20" w14:textId="77777777" w:rsidR="00ED213D" w:rsidRDefault="00ED213D">
          <w:pPr>
            <w:jc w:val="center"/>
            <w:rPr>
              <w:b/>
              <w:sz w:val="24"/>
            </w:rPr>
          </w:pPr>
        </w:p>
      </w:tc>
      <w:tc>
        <w:tcPr>
          <w:tcW w:w="3960" w:type="dxa"/>
        </w:tcPr>
        <w:p w14:paraId="6079376D" w14:textId="77777777" w:rsidR="00ED213D" w:rsidRDefault="00ED213D">
          <w:pPr>
            <w:jc w:val="center"/>
            <w:rPr>
              <w:b/>
              <w:sz w:val="24"/>
            </w:rPr>
          </w:pPr>
          <w:r>
            <w:rPr>
              <w:b/>
              <w:sz w:val="24"/>
            </w:rPr>
            <w:t>Air Emission License</w:t>
          </w:r>
        </w:p>
      </w:tc>
    </w:tr>
    <w:tr w:rsidR="00ED213D" w14:paraId="75DBFB8B" w14:textId="77777777" w:rsidTr="00733619">
      <w:tc>
        <w:tcPr>
          <w:tcW w:w="4050" w:type="dxa"/>
        </w:tcPr>
        <w:p w14:paraId="10843056" w14:textId="3EB810C1" w:rsidR="00ED213D" w:rsidRDefault="00ED213D">
          <w:pPr>
            <w:jc w:val="both"/>
            <w:rPr>
              <w:b/>
              <w:sz w:val="24"/>
            </w:rPr>
          </w:pPr>
          <w:r>
            <w:rPr>
              <w:b/>
              <w:sz w:val="24"/>
            </w:rPr>
            <w:t>A-</w:t>
          </w:r>
          <w:r w:rsidR="00753466">
            <w:rPr>
              <w:b/>
              <w:sz w:val="24"/>
            </w:rPr>
            <w:t>1194</w:t>
          </w:r>
          <w:r>
            <w:rPr>
              <w:b/>
              <w:sz w:val="24"/>
            </w:rPr>
            <w:t>-71-</w:t>
          </w:r>
          <w:r w:rsidR="00753466">
            <w:rPr>
              <w:b/>
              <w:sz w:val="24"/>
            </w:rPr>
            <w:t>A</w:t>
          </w:r>
          <w:r>
            <w:rPr>
              <w:b/>
              <w:sz w:val="24"/>
            </w:rPr>
            <w:t>-</w:t>
          </w:r>
          <w:r w:rsidR="00753466">
            <w:rPr>
              <w:b/>
              <w:sz w:val="24"/>
            </w:rPr>
            <w:t>N</w:t>
          </w:r>
          <w:r>
            <w:rPr>
              <w:b/>
              <w:sz w:val="24"/>
            </w:rPr>
            <w:t xml:space="preserve"> </w:t>
          </w:r>
        </w:p>
      </w:tc>
      <w:tc>
        <w:tcPr>
          <w:tcW w:w="900" w:type="dxa"/>
          <w:gridSpan w:val="2"/>
        </w:tcPr>
        <w:p w14:paraId="3A3F06A5"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1EEEB2A6" w14:textId="77777777" w:rsidR="00ED213D" w:rsidRDefault="00ED213D">
          <w:pPr>
            <w:jc w:val="center"/>
            <w:rPr>
              <w:b/>
              <w:sz w:val="24"/>
            </w:rPr>
          </w:pPr>
        </w:p>
      </w:tc>
      <w:tc>
        <w:tcPr>
          <w:tcW w:w="3960" w:type="dxa"/>
        </w:tcPr>
        <w:p w14:paraId="5D03CCFD" w14:textId="36678086" w:rsidR="00ED213D" w:rsidRPr="00A37B7D" w:rsidRDefault="00ED213D">
          <w:pPr>
            <w:jc w:val="center"/>
            <w:rPr>
              <w:b/>
              <w:i/>
              <w:sz w:val="24"/>
            </w:rPr>
          </w:pPr>
        </w:p>
      </w:tc>
    </w:tr>
  </w:tbl>
  <w:p w14:paraId="134E0A72" w14:textId="77777777" w:rsidR="00ED213D" w:rsidRDefault="00ED2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A589"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5B0369E4" wp14:editId="2D023CB3">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65924352"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372D96BA"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6AFC33A9"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6856CF48" w14:textId="77777777" w:rsidR="00ED213D" w:rsidRDefault="00ED213D" w:rsidP="00C56B22">
    <w:pPr>
      <w:pStyle w:val="Header"/>
      <w:jc w:val="center"/>
      <w:rPr>
        <w:rFonts w:ascii="Arial" w:hAnsi="Arial" w:cs="Arial"/>
        <w:color w:val="0000FF"/>
      </w:rPr>
    </w:pPr>
  </w:p>
  <w:p w14:paraId="655AE4C8" w14:textId="77777777" w:rsidR="00ED213D" w:rsidRDefault="00ED213D" w:rsidP="00C56B22">
    <w:pPr>
      <w:pStyle w:val="Header"/>
      <w:jc w:val="center"/>
      <w:rPr>
        <w:color w:val="0000FF"/>
        <w:sz w:val="24"/>
        <w:szCs w:val="24"/>
      </w:rPr>
    </w:pPr>
    <w:r>
      <w:rPr>
        <w:rFonts w:ascii="Arial" w:hAnsi="Arial" w:cs="Arial"/>
        <w:color w:val="0000FF"/>
      </w:rPr>
      <w:t>DEPARTMENT ORDER</w:t>
    </w:r>
  </w:p>
  <w:p w14:paraId="6B07AE83" w14:textId="77777777" w:rsidR="00ED213D" w:rsidRDefault="00ED213D">
    <w:pPr>
      <w:pStyle w:val="Header"/>
      <w:rPr>
        <w:sz w:val="24"/>
      </w:rPr>
    </w:pPr>
  </w:p>
  <w:p w14:paraId="20BEB9F9"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0324826B" w14:textId="77777777" w:rsidTr="00733619">
      <w:tc>
        <w:tcPr>
          <w:tcW w:w="4068" w:type="dxa"/>
        </w:tcPr>
        <w:p w14:paraId="4FF14BF7" w14:textId="2157E478" w:rsidR="00ED213D" w:rsidRDefault="00753466">
          <w:pPr>
            <w:jc w:val="both"/>
            <w:rPr>
              <w:b/>
              <w:sz w:val="24"/>
            </w:rPr>
          </w:pPr>
          <w:r>
            <w:rPr>
              <w:b/>
              <w:sz w:val="24"/>
            </w:rPr>
            <w:t>Northeastern University</w:t>
          </w:r>
        </w:p>
      </w:tc>
      <w:tc>
        <w:tcPr>
          <w:tcW w:w="720" w:type="dxa"/>
          <w:tcBorders>
            <w:right w:val="single" w:sz="4" w:space="0" w:color="auto"/>
          </w:tcBorders>
        </w:tcPr>
        <w:p w14:paraId="76FC19A5" w14:textId="77777777" w:rsidR="00ED213D" w:rsidRDefault="00ED213D">
          <w:pPr>
            <w:jc w:val="center"/>
            <w:rPr>
              <w:b/>
              <w:sz w:val="24"/>
            </w:rPr>
          </w:pPr>
        </w:p>
      </w:tc>
      <w:tc>
        <w:tcPr>
          <w:tcW w:w="720" w:type="dxa"/>
          <w:tcBorders>
            <w:left w:val="nil"/>
          </w:tcBorders>
        </w:tcPr>
        <w:p w14:paraId="4070C3C1" w14:textId="77777777" w:rsidR="00ED213D" w:rsidRDefault="00ED213D">
          <w:pPr>
            <w:jc w:val="center"/>
            <w:rPr>
              <w:b/>
              <w:sz w:val="24"/>
            </w:rPr>
          </w:pPr>
        </w:p>
      </w:tc>
      <w:tc>
        <w:tcPr>
          <w:tcW w:w="3942" w:type="dxa"/>
        </w:tcPr>
        <w:p w14:paraId="4112A3D9" w14:textId="77777777" w:rsidR="00ED213D" w:rsidRDefault="00ED213D">
          <w:pPr>
            <w:jc w:val="center"/>
            <w:rPr>
              <w:b/>
              <w:sz w:val="24"/>
            </w:rPr>
          </w:pPr>
          <w:r>
            <w:rPr>
              <w:b/>
              <w:sz w:val="24"/>
            </w:rPr>
            <w:t>Departmental</w:t>
          </w:r>
        </w:p>
      </w:tc>
    </w:tr>
    <w:tr w:rsidR="00ED213D" w14:paraId="1AD4A6B8" w14:textId="77777777" w:rsidTr="00733619">
      <w:tc>
        <w:tcPr>
          <w:tcW w:w="4068" w:type="dxa"/>
        </w:tcPr>
        <w:p w14:paraId="2AABFA65" w14:textId="1D265E3E" w:rsidR="00ED213D" w:rsidRDefault="00753466">
          <w:pPr>
            <w:jc w:val="both"/>
            <w:rPr>
              <w:b/>
              <w:sz w:val="24"/>
            </w:rPr>
          </w:pPr>
          <w:r>
            <w:rPr>
              <w:b/>
              <w:sz w:val="24"/>
            </w:rPr>
            <w:t>Cumberland</w:t>
          </w:r>
          <w:r w:rsidR="00ED213D">
            <w:rPr>
              <w:b/>
              <w:sz w:val="24"/>
            </w:rPr>
            <w:t xml:space="preserve"> County</w:t>
          </w:r>
        </w:p>
      </w:tc>
      <w:tc>
        <w:tcPr>
          <w:tcW w:w="720" w:type="dxa"/>
          <w:tcBorders>
            <w:right w:val="single" w:sz="4" w:space="0" w:color="auto"/>
          </w:tcBorders>
        </w:tcPr>
        <w:p w14:paraId="22B1BF06" w14:textId="77777777" w:rsidR="00ED213D" w:rsidRDefault="00ED213D">
          <w:pPr>
            <w:jc w:val="center"/>
            <w:rPr>
              <w:b/>
              <w:sz w:val="24"/>
            </w:rPr>
          </w:pPr>
        </w:p>
      </w:tc>
      <w:tc>
        <w:tcPr>
          <w:tcW w:w="720" w:type="dxa"/>
          <w:tcBorders>
            <w:left w:val="nil"/>
          </w:tcBorders>
        </w:tcPr>
        <w:p w14:paraId="17FA1ADB" w14:textId="77777777" w:rsidR="00ED213D" w:rsidRDefault="00ED213D">
          <w:pPr>
            <w:jc w:val="center"/>
            <w:rPr>
              <w:b/>
              <w:sz w:val="24"/>
            </w:rPr>
          </w:pPr>
        </w:p>
      </w:tc>
      <w:tc>
        <w:tcPr>
          <w:tcW w:w="3942" w:type="dxa"/>
        </w:tcPr>
        <w:p w14:paraId="70E4F695" w14:textId="77777777" w:rsidR="00ED213D" w:rsidRDefault="00ED213D">
          <w:pPr>
            <w:jc w:val="center"/>
            <w:rPr>
              <w:b/>
              <w:sz w:val="24"/>
            </w:rPr>
          </w:pPr>
          <w:r>
            <w:rPr>
              <w:b/>
              <w:sz w:val="24"/>
            </w:rPr>
            <w:t>Findings of Fact and Order</w:t>
          </w:r>
        </w:p>
      </w:tc>
    </w:tr>
    <w:tr w:rsidR="00ED213D" w14:paraId="38A3CAFB" w14:textId="77777777" w:rsidTr="00733619">
      <w:tc>
        <w:tcPr>
          <w:tcW w:w="4068" w:type="dxa"/>
        </w:tcPr>
        <w:p w14:paraId="6B0CAC98" w14:textId="052EEAFF" w:rsidR="00ED213D" w:rsidRDefault="00753466">
          <w:pPr>
            <w:jc w:val="both"/>
            <w:rPr>
              <w:b/>
              <w:sz w:val="24"/>
            </w:rPr>
          </w:pPr>
          <w:r>
            <w:rPr>
              <w:b/>
              <w:sz w:val="24"/>
            </w:rPr>
            <w:t>Portland</w:t>
          </w:r>
          <w:r w:rsidR="00ED213D">
            <w:rPr>
              <w:b/>
              <w:sz w:val="24"/>
            </w:rPr>
            <w:t>, Maine</w:t>
          </w:r>
        </w:p>
      </w:tc>
      <w:tc>
        <w:tcPr>
          <w:tcW w:w="720" w:type="dxa"/>
          <w:tcBorders>
            <w:right w:val="single" w:sz="4" w:space="0" w:color="auto"/>
          </w:tcBorders>
        </w:tcPr>
        <w:p w14:paraId="6046358F" w14:textId="77777777" w:rsidR="00ED213D" w:rsidRDefault="00ED213D">
          <w:pPr>
            <w:jc w:val="center"/>
            <w:rPr>
              <w:b/>
              <w:sz w:val="24"/>
            </w:rPr>
          </w:pPr>
        </w:p>
      </w:tc>
      <w:tc>
        <w:tcPr>
          <w:tcW w:w="720" w:type="dxa"/>
          <w:tcBorders>
            <w:left w:val="nil"/>
          </w:tcBorders>
        </w:tcPr>
        <w:p w14:paraId="00818FFC" w14:textId="77777777" w:rsidR="00ED213D" w:rsidRDefault="00ED213D">
          <w:pPr>
            <w:jc w:val="center"/>
            <w:rPr>
              <w:b/>
              <w:sz w:val="24"/>
            </w:rPr>
          </w:pPr>
        </w:p>
      </w:tc>
      <w:tc>
        <w:tcPr>
          <w:tcW w:w="3942" w:type="dxa"/>
        </w:tcPr>
        <w:p w14:paraId="057D72A5" w14:textId="77777777" w:rsidR="00ED213D" w:rsidRDefault="00ED213D">
          <w:pPr>
            <w:jc w:val="center"/>
            <w:rPr>
              <w:b/>
              <w:sz w:val="24"/>
            </w:rPr>
          </w:pPr>
          <w:r>
            <w:rPr>
              <w:b/>
              <w:sz w:val="24"/>
            </w:rPr>
            <w:t>Air Emission License</w:t>
          </w:r>
        </w:p>
      </w:tc>
    </w:tr>
    <w:tr w:rsidR="00ED213D" w14:paraId="3C25B585" w14:textId="77777777" w:rsidTr="00733619">
      <w:tc>
        <w:tcPr>
          <w:tcW w:w="4068" w:type="dxa"/>
        </w:tcPr>
        <w:p w14:paraId="7EAED681" w14:textId="2515FD88" w:rsidR="00ED213D" w:rsidRDefault="00ED213D">
          <w:pPr>
            <w:jc w:val="both"/>
            <w:rPr>
              <w:b/>
              <w:sz w:val="24"/>
            </w:rPr>
          </w:pPr>
          <w:r>
            <w:rPr>
              <w:b/>
              <w:sz w:val="24"/>
            </w:rPr>
            <w:t>A-</w:t>
          </w:r>
          <w:r w:rsidR="00753466">
            <w:rPr>
              <w:b/>
              <w:sz w:val="24"/>
            </w:rPr>
            <w:t>1194</w:t>
          </w:r>
          <w:r>
            <w:rPr>
              <w:b/>
              <w:sz w:val="24"/>
            </w:rPr>
            <w:t>-71-</w:t>
          </w:r>
          <w:r w:rsidR="00753466">
            <w:rPr>
              <w:b/>
              <w:sz w:val="24"/>
            </w:rPr>
            <w:t>A</w:t>
          </w:r>
          <w:r>
            <w:rPr>
              <w:b/>
              <w:sz w:val="24"/>
            </w:rPr>
            <w:t>-</w:t>
          </w:r>
          <w:r w:rsidR="00753466">
            <w:rPr>
              <w:b/>
              <w:sz w:val="24"/>
            </w:rPr>
            <w:t>N</w:t>
          </w:r>
          <w:r>
            <w:rPr>
              <w:b/>
              <w:sz w:val="24"/>
            </w:rPr>
            <w:t xml:space="preserve"> </w:t>
          </w:r>
        </w:p>
      </w:tc>
      <w:tc>
        <w:tcPr>
          <w:tcW w:w="720" w:type="dxa"/>
          <w:tcBorders>
            <w:right w:val="single" w:sz="4" w:space="0" w:color="auto"/>
          </w:tcBorders>
        </w:tcPr>
        <w:p w14:paraId="14681338" w14:textId="77777777" w:rsidR="00ED213D" w:rsidRDefault="00ED213D">
          <w:pPr>
            <w:jc w:val="center"/>
            <w:rPr>
              <w:b/>
              <w:sz w:val="24"/>
            </w:rPr>
          </w:pPr>
        </w:p>
      </w:tc>
      <w:tc>
        <w:tcPr>
          <w:tcW w:w="720" w:type="dxa"/>
          <w:tcBorders>
            <w:left w:val="nil"/>
          </w:tcBorders>
        </w:tcPr>
        <w:p w14:paraId="77B604A9" w14:textId="77777777" w:rsidR="00ED213D" w:rsidRDefault="00ED213D">
          <w:pPr>
            <w:jc w:val="center"/>
            <w:rPr>
              <w:b/>
              <w:sz w:val="24"/>
            </w:rPr>
          </w:pPr>
        </w:p>
      </w:tc>
      <w:tc>
        <w:tcPr>
          <w:tcW w:w="3942" w:type="dxa"/>
        </w:tcPr>
        <w:p w14:paraId="02FCED3B" w14:textId="57AC1F39" w:rsidR="003267EC" w:rsidRPr="003267EC" w:rsidRDefault="003267EC" w:rsidP="003267EC">
          <w:pPr>
            <w:pStyle w:val="Heading1"/>
            <w:rPr>
              <w:i/>
            </w:rPr>
          </w:pPr>
        </w:p>
      </w:tc>
    </w:tr>
  </w:tbl>
  <w:p w14:paraId="0DB174EE"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FA97E71"/>
    <w:multiLevelType w:val="hybridMultilevel"/>
    <w:tmpl w:val="3438A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6"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2"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5"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9"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9"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68"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2"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5"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6"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8"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4"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0"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8"/>
  </w:num>
  <w:num w:numId="2" w16cid:durableId="943997680">
    <w:abstractNumId w:val="67"/>
  </w:num>
  <w:num w:numId="3" w16cid:durableId="1830172005">
    <w:abstractNumId w:val="2"/>
  </w:num>
  <w:num w:numId="4" w16cid:durableId="1357079452">
    <w:abstractNumId w:val="38"/>
  </w:num>
  <w:num w:numId="5" w16cid:durableId="1083722067">
    <w:abstractNumId w:val="74"/>
  </w:num>
  <w:num w:numId="6" w16cid:durableId="2135518769">
    <w:abstractNumId w:val="75"/>
  </w:num>
  <w:num w:numId="7" w16cid:durableId="440686182">
    <w:abstractNumId w:val="71"/>
  </w:num>
  <w:num w:numId="8" w16cid:durableId="1032731954">
    <w:abstractNumId w:val="99"/>
  </w:num>
  <w:num w:numId="9" w16cid:durableId="2042125080">
    <w:abstractNumId w:val="25"/>
  </w:num>
  <w:num w:numId="10" w16cid:durableId="1671062345">
    <w:abstractNumId w:val="34"/>
  </w:num>
  <w:num w:numId="11" w16cid:durableId="730079211">
    <w:abstractNumId w:val="77"/>
  </w:num>
  <w:num w:numId="12" w16cid:durableId="317540832">
    <w:abstractNumId w:val="31"/>
  </w:num>
  <w:num w:numId="13" w16cid:durableId="187564781">
    <w:abstractNumId w:val="63"/>
  </w:num>
  <w:num w:numId="14" w16cid:durableId="2093120872">
    <w:abstractNumId w:val="28"/>
  </w:num>
  <w:num w:numId="15" w16cid:durableId="1612393667">
    <w:abstractNumId w:val="52"/>
  </w:num>
  <w:num w:numId="16" w16cid:durableId="1840391868">
    <w:abstractNumId w:val="61"/>
  </w:num>
  <w:num w:numId="17" w16cid:durableId="1021593777">
    <w:abstractNumId w:val="35"/>
  </w:num>
  <w:num w:numId="18" w16cid:durableId="779490925">
    <w:abstractNumId w:val="10"/>
  </w:num>
  <w:num w:numId="19" w16cid:durableId="1511095245">
    <w:abstractNumId w:val="59"/>
  </w:num>
  <w:num w:numId="20" w16cid:durableId="813062845">
    <w:abstractNumId w:val="45"/>
  </w:num>
  <w:num w:numId="21" w16cid:durableId="2017226646">
    <w:abstractNumId w:val="27"/>
  </w:num>
  <w:num w:numId="22" w16cid:durableId="809638547">
    <w:abstractNumId w:val="81"/>
  </w:num>
  <w:num w:numId="23" w16cid:durableId="63727039">
    <w:abstractNumId w:val="108"/>
  </w:num>
  <w:num w:numId="24" w16cid:durableId="1943761131">
    <w:abstractNumId w:val="4"/>
  </w:num>
  <w:num w:numId="25" w16cid:durableId="895700846">
    <w:abstractNumId w:val="0"/>
  </w:num>
  <w:num w:numId="26" w16cid:durableId="1806268111">
    <w:abstractNumId w:val="19"/>
  </w:num>
  <w:num w:numId="27" w16cid:durableId="165829740">
    <w:abstractNumId w:val="68"/>
  </w:num>
  <w:num w:numId="28" w16cid:durableId="961037047">
    <w:abstractNumId w:val="111"/>
  </w:num>
  <w:num w:numId="29" w16cid:durableId="2083596217">
    <w:abstractNumId w:val="97"/>
  </w:num>
  <w:num w:numId="30" w16cid:durableId="883492052">
    <w:abstractNumId w:val="73"/>
  </w:num>
  <w:num w:numId="31" w16cid:durableId="759788910">
    <w:abstractNumId w:val="11"/>
  </w:num>
  <w:num w:numId="32" w16cid:durableId="1917939820">
    <w:abstractNumId w:val="15"/>
  </w:num>
  <w:num w:numId="33" w16cid:durableId="1892031002">
    <w:abstractNumId w:val="109"/>
  </w:num>
  <w:num w:numId="34" w16cid:durableId="924606090">
    <w:abstractNumId w:val="36"/>
  </w:num>
  <w:num w:numId="35" w16cid:durableId="749237614">
    <w:abstractNumId w:val="53"/>
  </w:num>
  <w:num w:numId="36" w16cid:durableId="132329901">
    <w:abstractNumId w:val="56"/>
  </w:num>
  <w:num w:numId="37" w16cid:durableId="240604711">
    <w:abstractNumId w:val="70"/>
  </w:num>
  <w:num w:numId="38" w16cid:durableId="244270600">
    <w:abstractNumId w:val="9"/>
  </w:num>
  <w:num w:numId="39" w16cid:durableId="1031108168">
    <w:abstractNumId w:val="94"/>
  </w:num>
  <w:num w:numId="40" w16cid:durableId="1898473591">
    <w:abstractNumId w:val="51"/>
  </w:num>
  <w:num w:numId="41" w16cid:durableId="1580601967">
    <w:abstractNumId w:val="95"/>
  </w:num>
  <w:num w:numId="42" w16cid:durableId="1552185916">
    <w:abstractNumId w:val="66"/>
  </w:num>
  <w:num w:numId="43" w16cid:durableId="1012998997">
    <w:abstractNumId w:val="105"/>
  </w:num>
  <w:num w:numId="44" w16cid:durableId="1932855890">
    <w:abstractNumId w:val="54"/>
  </w:num>
  <w:num w:numId="45" w16cid:durableId="2140875076">
    <w:abstractNumId w:val="20"/>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5"/>
  </w:num>
  <w:num w:numId="49" w16cid:durableId="531722411">
    <w:abstractNumId w:val="18"/>
  </w:num>
  <w:num w:numId="50" w16cid:durableId="593516800">
    <w:abstractNumId w:val="60"/>
  </w:num>
  <w:num w:numId="51" w16cid:durableId="1267037549">
    <w:abstractNumId w:val="55"/>
  </w:num>
  <w:num w:numId="52" w16cid:durableId="753624782">
    <w:abstractNumId w:val="55"/>
    <w:lvlOverride w:ilvl="0">
      <w:startOverride w:val="1"/>
    </w:lvlOverride>
  </w:num>
  <w:num w:numId="53" w16cid:durableId="1641569562">
    <w:abstractNumId w:val="37"/>
  </w:num>
  <w:num w:numId="54" w16cid:durableId="109714346">
    <w:abstractNumId w:val="37"/>
    <w:lvlOverride w:ilvl="0">
      <w:startOverride w:val="1"/>
    </w:lvlOverride>
  </w:num>
  <w:num w:numId="55" w16cid:durableId="775488896">
    <w:abstractNumId w:val="37"/>
    <w:lvlOverride w:ilvl="0">
      <w:startOverride w:val="1"/>
    </w:lvlOverride>
  </w:num>
  <w:num w:numId="56" w16cid:durableId="785080229">
    <w:abstractNumId w:val="22"/>
  </w:num>
  <w:num w:numId="57" w16cid:durableId="2084793961">
    <w:abstractNumId w:val="7"/>
  </w:num>
  <w:num w:numId="58" w16cid:durableId="594706106">
    <w:abstractNumId w:val="30"/>
  </w:num>
  <w:num w:numId="59" w16cid:durableId="179393141">
    <w:abstractNumId w:val="29"/>
  </w:num>
  <w:num w:numId="60" w16cid:durableId="2035884949">
    <w:abstractNumId w:val="104"/>
  </w:num>
  <w:num w:numId="61" w16cid:durableId="781150148">
    <w:abstractNumId w:val="78"/>
  </w:num>
  <w:num w:numId="62" w16cid:durableId="1805006860">
    <w:abstractNumId w:val="89"/>
  </w:num>
  <w:num w:numId="63" w16cid:durableId="932468303">
    <w:abstractNumId w:val="80"/>
  </w:num>
  <w:num w:numId="64" w16cid:durableId="353309572">
    <w:abstractNumId w:val="79"/>
  </w:num>
  <w:num w:numId="65" w16cid:durableId="453641219">
    <w:abstractNumId w:val="83"/>
  </w:num>
  <w:num w:numId="66" w16cid:durableId="617372615">
    <w:abstractNumId w:val="112"/>
  </w:num>
  <w:num w:numId="67" w16cid:durableId="767627377">
    <w:abstractNumId w:val="98"/>
  </w:num>
  <w:num w:numId="68" w16cid:durableId="636110738">
    <w:abstractNumId w:val="14"/>
  </w:num>
  <w:num w:numId="69" w16cid:durableId="226690206">
    <w:abstractNumId w:val="44"/>
  </w:num>
  <w:num w:numId="70" w16cid:durableId="731586837">
    <w:abstractNumId w:val="40"/>
  </w:num>
  <w:num w:numId="71" w16cid:durableId="1408843827">
    <w:abstractNumId w:val="100"/>
  </w:num>
  <w:num w:numId="72" w16cid:durableId="410080208">
    <w:abstractNumId w:val="96"/>
  </w:num>
  <w:num w:numId="73" w16cid:durableId="182328962">
    <w:abstractNumId w:val="84"/>
  </w:num>
  <w:num w:numId="74" w16cid:durableId="1080448253">
    <w:abstractNumId w:val="107"/>
  </w:num>
  <w:num w:numId="75" w16cid:durableId="1440181464">
    <w:abstractNumId w:val="16"/>
  </w:num>
  <w:num w:numId="76" w16cid:durableId="1277443034">
    <w:abstractNumId w:val="46"/>
  </w:num>
  <w:num w:numId="77" w16cid:durableId="493452390">
    <w:abstractNumId w:val="58"/>
  </w:num>
  <w:num w:numId="78" w16cid:durableId="1459909758">
    <w:abstractNumId w:val="62"/>
  </w:num>
  <w:num w:numId="79" w16cid:durableId="1285650745">
    <w:abstractNumId w:val="72"/>
  </w:num>
  <w:num w:numId="80" w16cid:durableId="402915865">
    <w:abstractNumId w:val="57"/>
  </w:num>
  <w:num w:numId="81" w16cid:durableId="1665665904">
    <w:abstractNumId w:val="50"/>
  </w:num>
  <w:num w:numId="82" w16cid:durableId="1707750122">
    <w:abstractNumId w:val="13"/>
  </w:num>
  <w:num w:numId="83" w16cid:durableId="1472285141">
    <w:abstractNumId w:val="102"/>
  </w:num>
  <w:num w:numId="84" w16cid:durableId="1281569199">
    <w:abstractNumId w:val="85"/>
  </w:num>
  <w:num w:numId="85" w16cid:durableId="2080206862">
    <w:abstractNumId w:val="41"/>
  </w:num>
  <w:num w:numId="86" w16cid:durableId="990714735">
    <w:abstractNumId w:val="82"/>
  </w:num>
  <w:num w:numId="87" w16cid:durableId="1204636668">
    <w:abstractNumId w:val="69"/>
  </w:num>
  <w:num w:numId="88" w16cid:durableId="730926114">
    <w:abstractNumId w:val="103"/>
  </w:num>
  <w:num w:numId="89" w16cid:durableId="1350838181">
    <w:abstractNumId w:val="86"/>
  </w:num>
  <w:num w:numId="90" w16cid:durableId="1416171667">
    <w:abstractNumId w:val="88"/>
  </w:num>
  <w:num w:numId="91" w16cid:durableId="197668546">
    <w:abstractNumId w:val="64"/>
  </w:num>
  <w:num w:numId="92" w16cid:durableId="125395979">
    <w:abstractNumId w:val="12"/>
  </w:num>
  <w:num w:numId="93" w16cid:durableId="1958412930">
    <w:abstractNumId w:val="76"/>
  </w:num>
  <w:num w:numId="94" w16cid:durableId="1862088826">
    <w:abstractNumId w:val="106"/>
  </w:num>
  <w:num w:numId="95" w16cid:durableId="688338057">
    <w:abstractNumId w:val="43"/>
  </w:num>
  <w:num w:numId="96" w16cid:durableId="1270428072">
    <w:abstractNumId w:val="17"/>
  </w:num>
  <w:num w:numId="97" w16cid:durableId="579558741">
    <w:abstractNumId w:val="6"/>
  </w:num>
  <w:num w:numId="98" w16cid:durableId="1053769281">
    <w:abstractNumId w:val="101"/>
  </w:num>
  <w:num w:numId="99" w16cid:durableId="654575365">
    <w:abstractNumId w:val="26"/>
  </w:num>
  <w:num w:numId="100" w16cid:durableId="1663970592">
    <w:abstractNumId w:val="8"/>
  </w:num>
  <w:num w:numId="101" w16cid:durableId="1320504038">
    <w:abstractNumId w:val="1"/>
  </w:num>
  <w:num w:numId="102" w16cid:durableId="1872957401">
    <w:abstractNumId w:val="87"/>
  </w:num>
  <w:num w:numId="103" w16cid:durableId="766929483">
    <w:abstractNumId w:val="49"/>
  </w:num>
  <w:num w:numId="104" w16cid:durableId="297496620">
    <w:abstractNumId w:val="37"/>
  </w:num>
  <w:num w:numId="105" w16cid:durableId="1599678853">
    <w:abstractNumId w:val="37"/>
    <w:lvlOverride w:ilvl="0">
      <w:startOverride w:val="1"/>
    </w:lvlOverride>
  </w:num>
  <w:num w:numId="106" w16cid:durableId="1578049539">
    <w:abstractNumId w:val="91"/>
  </w:num>
  <w:num w:numId="107" w16cid:durableId="1475834348">
    <w:abstractNumId w:val="110"/>
  </w:num>
  <w:num w:numId="108" w16cid:durableId="124009826">
    <w:abstractNumId w:val="5"/>
  </w:num>
  <w:num w:numId="109" w16cid:durableId="1694376500">
    <w:abstractNumId w:val="90"/>
  </w:num>
  <w:num w:numId="110" w16cid:durableId="1030452222">
    <w:abstractNumId w:val="42"/>
  </w:num>
  <w:num w:numId="111" w16cid:durableId="568156183">
    <w:abstractNumId w:val="3"/>
  </w:num>
  <w:num w:numId="112" w16cid:durableId="1753506145">
    <w:abstractNumId w:val="113"/>
  </w:num>
  <w:num w:numId="113" w16cid:durableId="2022777956">
    <w:abstractNumId w:val="93"/>
  </w:num>
  <w:num w:numId="114" w16cid:durableId="55670402">
    <w:abstractNumId w:val="47"/>
  </w:num>
  <w:num w:numId="115" w16cid:durableId="1137915944">
    <w:abstractNumId w:val="21"/>
  </w:num>
  <w:num w:numId="116" w16cid:durableId="1199010740">
    <w:abstractNumId w:val="23"/>
  </w:num>
  <w:num w:numId="117" w16cid:durableId="1944412632">
    <w:abstractNumId w:val="23"/>
    <w:lvlOverride w:ilvl="0">
      <w:startOverride w:val="1"/>
    </w:lvlOverride>
  </w:num>
  <w:num w:numId="118" w16cid:durableId="1868056069">
    <w:abstractNumId w:val="92"/>
  </w:num>
  <w:num w:numId="119" w16cid:durableId="2103182164">
    <w:abstractNumId w:val="32"/>
  </w:num>
  <w:num w:numId="120" w16cid:durableId="205533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9"/>
  </w:num>
  <w:num w:numId="122" w16cid:durableId="908271029">
    <w:abstractNumId w:val="33"/>
  </w:num>
  <w:num w:numId="123" w16cid:durableId="1480415941">
    <w:abstractNumId w:val="2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DD"/>
    <w:rsid w:val="00000529"/>
    <w:rsid w:val="00001AAB"/>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43004"/>
    <w:rsid w:val="000434DD"/>
    <w:rsid w:val="00043D41"/>
    <w:rsid w:val="000440E5"/>
    <w:rsid w:val="000446B7"/>
    <w:rsid w:val="00044AA4"/>
    <w:rsid w:val="000450EC"/>
    <w:rsid w:val="0004533C"/>
    <w:rsid w:val="00045BD4"/>
    <w:rsid w:val="00045CD0"/>
    <w:rsid w:val="00050FE9"/>
    <w:rsid w:val="00051F9F"/>
    <w:rsid w:val="00053CC2"/>
    <w:rsid w:val="000657D3"/>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3B7D"/>
    <w:rsid w:val="000B45CD"/>
    <w:rsid w:val="000B4644"/>
    <w:rsid w:val="000B7892"/>
    <w:rsid w:val="000C2223"/>
    <w:rsid w:val="000C25CA"/>
    <w:rsid w:val="000C69ED"/>
    <w:rsid w:val="000D08CC"/>
    <w:rsid w:val="000D1D89"/>
    <w:rsid w:val="000D2FDD"/>
    <w:rsid w:val="000D6729"/>
    <w:rsid w:val="000D6857"/>
    <w:rsid w:val="000D6B39"/>
    <w:rsid w:val="000E0A82"/>
    <w:rsid w:val="000E181D"/>
    <w:rsid w:val="000E4104"/>
    <w:rsid w:val="000E6670"/>
    <w:rsid w:val="000E73D5"/>
    <w:rsid w:val="000F10AF"/>
    <w:rsid w:val="000F245A"/>
    <w:rsid w:val="000F2AF1"/>
    <w:rsid w:val="000F4E4A"/>
    <w:rsid w:val="000F585F"/>
    <w:rsid w:val="000F7937"/>
    <w:rsid w:val="00101472"/>
    <w:rsid w:val="00103545"/>
    <w:rsid w:val="00103E3E"/>
    <w:rsid w:val="00103F0C"/>
    <w:rsid w:val="00106C67"/>
    <w:rsid w:val="00107C86"/>
    <w:rsid w:val="00110928"/>
    <w:rsid w:val="001155B2"/>
    <w:rsid w:val="001163D0"/>
    <w:rsid w:val="00116E58"/>
    <w:rsid w:val="00117E5B"/>
    <w:rsid w:val="00122301"/>
    <w:rsid w:val="00123054"/>
    <w:rsid w:val="0012338D"/>
    <w:rsid w:val="0012348B"/>
    <w:rsid w:val="001234B5"/>
    <w:rsid w:val="00130D5D"/>
    <w:rsid w:val="0013105C"/>
    <w:rsid w:val="00136DC8"/>
    <w:rsid w:val="00141295"/>
    <w:rsid w:val="00142040"/>
    <w:rsid w:val="00142C88"/>
    <w:rsid w:val="00144CFF"/>
    <w:rsid w:val="0015041F"/>
    <w:rsid w:val="001508DD"/>
    <w:rsid w:val="00152D34"/>
    <w:rsid w:val="00157FA8"/>
    <w:rsid w:val="00161937"/>
    <w:rsid w:val="00161F5D"/>
    <w:rsid w:val="00163833"/>
    <w:rsid w:val="0016388E"/>
    <w:rsid w:val="00163C3E"/>
    <w:rsid w:val="00164EB5"/>
    <w:rsid w:val="001656A2"/>
    <w:rsid w:val="0016705B"/>
    <w:rsid w:val="0017002C"/>
    <w:rsid w:val="001710E4"/>
    <w:rsid w:val="00171F23"/>
    <w:rsid w:val="00175358"/>
    <w:rsid w:val="00180860"/>
    <w:rsid w:val="001826AE"/>
    <w:rsid w:val="00182D6F"/>
    <w:rsid w:val="001834F2"/>
    <w:rsid w:val="001916C3"/>
    <w:rsid w:val="00192CDF"/>
    <w:rsid w:val="00193776"/>
    <w:rsid w:val="001966E6"/>
    <w:rsid w:val="00197788"/>
    <w:rsid w:val="00197C72"/>
    <w:rsid w:val="001A0A09"/>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2B06"/>
    <w:rsid w:val="001D404D"/>
    <w:rsid w:val="001D7ACF"/>
    <w:rsid w:val="001E01F1"/>
    <w:rsid w:val="001E0AAC"/>
    <w:rsid w:val="001E36BE"/>
    <w:rsid w:val="001E6A36"/>
    <w:rsid w:val="001F064F"/>
    <w:rsid w:val="001F1F6F"/>
    <w:rsid w:val="001F30E0"/>
    <w:rsid w:val="001F4002"/>
    <w:rsid w:val="001F411D"/>
    <w:rsid w:val="001F430F"/>
    <w:rsid w:val="002010E5"/>
    <w:rsid w:val="002011EE"/>
    <w:rsid w:val="00201447"/>
    <w:rsid w:val="002017B0"/>
    <w:rsid w:val="00201C5F"/>
    <w:rsid w:val="002038C3"/>
    <w:rsid w:val="0020510C"/>
    <w:rsid w:val="002057D4"/>
    <w:rsid w:val="00205C3E"/>
    <w:rsid w:val="00205E8A"/>
    <w:rsid w:val="0020754D"/>
    <w:rsid w:val="00210C11"/>
    <w:rsid w:val="00212792"/>
    <w:rsid w:val="00216D19"/>
    <w:rsid w:val="00222E90"/>
    <w:rsid w:val="00222EB2"/>
    <w:rsid w:val="00225035"/>
    <w:rsid w:val="0022728A"/>
    <w:rsid w:val="00230890"/>
    <w:rsid w:val="002332A3"/>
    <w:rsid w:val="002334B3"/>
    <w:rsid w:val="0023639B"/>
    <w:rsid w:val="0023770C"/>
    <w:rsid w:val="0024412A"/>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3B34"/>
    <w:rsid w:val="00273F87"/>
    <w:rsid w:val="00275755"/>
    <w:rsid w:val="002775D4"/>
    <w:rsid w:val="00277FA8"/>
    <w:rsid w:val="00281A51"/>
    <w:rsid w:val="0028303F"/>
    <w:rsid w:val="00283485"/>
    <w:rsid w:val="00284CE3"/>
    <w:rsid w:val="00286AFA"/>
    <w:rsid w:val="0029385E"/>
    <w:rsid w:val="00296502"/>
    <w:rsid w:val="002A264D"/>
    <w:rsid w:val="002A7C53"/>
    <w:rsid w:val="002B0947"/>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008"/>
    <w:rsid w:val="003007B7"/>
    <w:rsid w:val="00300C44"/>
    <w:rsid w:val="00303158"/>
    <w:rsid w:val="00304CF6"/>
    <w:rsid w:val="0030657B"/>
    <w:rsid w:val="00306844"/>
    <w:rsid w:val="00306AD4"/>
    <w:rsid w:val="0031060A"/>
    <w:rsid w:val="003107BF"/>
    <w:rsid w:val="00310DA8"/>
    <w:rsid w:val="0031165B"/>
    <w:rsid w:val="00311A54"/>
    <w:rsid w:val="0031290C"/>
    <w:rsid w:val="00317327"/>
    <w:rsid w:val="003211A5"/>
    <w:rsid w:val="00321AC7"/>
    <w:rsid w:val="003222FE"/>
    <w:rsid w:val="00324933"/>
    <w:rsid w:val="003267EC"/>
    <w:rsid w:val="0032732C"/>
    <w:rsid w:val="00327526"/>
    <w:rsid w:val="00330C0D"/>
    <w:rsid w:val="00330E60"/>
    <w:rsid w:val="00331930"/>
    <w:rsid w:val="00332A16"/>
    <w:rsid w:val="003334E2"/>
    <w:rsid w:val="00341A0D"/>
    <w:rsid w:val="003421DD"/>
    <w:rsid w:val="00342241"/>
    <w:rsid w:val="0034237E"/>
    <w:rsid w:val="0034243F"/>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676C3"/>
    <w:rsid w:val="003713B2"/>
    <w:rsid w:val="003714E5"/>
    <w:rsid w:val="00372B5C"/>
    <w:rsid w:val="00376167"/>
    <w:rsid w:val="003767B8"/>
    <w:rsid w:val="00377374"/>
    <w:rsid w:val="00381463"/>
    <w:rsid w:val="003840DA"/>
    <w:rsid w:val="003842B4"/>
    <w:rsid w:val="0038437E"/>
    <w:rsid w:val="0038645B"/>
    <w:rsid w:val="00387799"/>
    <w:rsid w:val="003877C1"/>
    <w:rsid w:val="00387ABD"/>
    <w:rsid w:val="003902B0"/>
    <w:rsid w:val="003908B7"/>
    <w:rsid w:val="00390B63"/>
    <w:rsid w:val="0039342B"/>
    <w:rsid w:val="00397A30"/>
    <w:rsid w:val="00397F18"/>
    <w:rsid w:val="003A13B7"/>
    <w:rsid w:val="003A6B69"/>
    <w:rsid w:val="003A71B3"/>
    <w:rsid w:val="003A784D"/>
    <w:rsid w:val="003A7A21"/>
    <w:rsid w:val="003B3613"/>
    <w:rsid w:val="003B5219"/>
    <w:rsid w:val="003B6BE3"/>
    <w:rsid w:val="003B7086"/>
    <w:rsid w:val="003C1551"/>
    <w:rsid w:val="003D0209"/>
    <w:rsid w:val="003D089B"/>
    <w:rsid w:val="003D0C49"/>
    <w:rsid w:val="003D2504"/>
    <w:rsid w:val="003D273E"/>
    <w:rsid w:val="003D31D0"/>
    <w:rsid w:val="003D536F"/>
    <w:rsid w:val="003E1C1C"/>
    <w:rsid w:val="003E24F6"/>
    <w:rsid w:val="003E35E3"/>
    <w:rsid w:val="003E3C14"/>
    <w:rsid w:val="003E5F9E"/>
    <w:rsid w:val="003E6E86"/>
    <w:rsid w:val="003F3A1A"/>
    <w:rsid w:val="003F3E19"/>
    <w:rsid w:val="003F7700"/>
    <w:rsid w:val="003F7B6A"/>
    <w:rsid w:val="00404169"/>
    <w:rsid w:val="004058E6"/>
    <w:rsid w:val="00405B95"/>
    <w:rsid w:val="00410F69"/>
    <w:rsid w:val="00412FB6"/>
    <w:rsid w:val="00416969"/>
    <w:rsid w:val="00417BC3"/>
    <w:rsid w:val="00420C04"/>
    <w:rsid w:val="00420EF8"/>
    <w:rsid w:val="004212AB"/>
    <w:rsid w:val="0042141B"/>
    <w:rsid w:val="00422953"/>
    <w:rsid w:val="00422E5D"/>
    <w:rsid w:val="0042397E"/>
    <w:rsid w:val="004273F3"/>
    <w:rsid w:val="00431E8B"/>
    <w:rsid w:val="00433A36"/>
    <w:rsid w:val="00442ECD"/>
    <w:rsid w:val="00444901"/>
    <w:rsid w:val="0044745F"/>
    <w:rsid w:val="00447FBA"/>
    <w:rsid w:val="004559FD"/>
    <w:rsid w:val="00460246"/>
    <w:rsid w:val="00460444"/>
    <w:rsid w:val="00460D0D"/>
    <w:rsid w:val="0046117C"/>
    <w:rsid w:val="00461DEC"/>
    <w:rsid w:val="00461E78"/>
    <w:rsid w:val="00463EE7"/>
    <w:rsid w:val="00466BCA"/>
    <w:rsid w:val="00471FAD"/>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5780"/>
    <w:rsid w:val="00495B96"/>
    <w:rsid w:val="004970E8"/>
    <w:rsid w:val="004A17A8"/>
    <w:rsid w:val="004A419D"/>
    <w:rsid w:val="004A6C7E"/>
    <w:rsid w:val="004A77BB"/>
    <w:rsid w:val="004B0AAE"/>
    <w:rsid w:val="004B1C24"/>
    <w:rsid w:val="004B2036"/>
    <w:rsid w:val="004B345F"/>
    <w:rsid w:val="004B409B"/>
    <w:rsid w:val="004B48D8"/>
    <w:rsid w:val="004B5DF1"/>
    <w:rsid w:val="004C09BF"/>
    <w:rsid w:val="004C0C4F"/>
    <w:rsid w:val="004C12AA"/>
    <w:rsid w:val="004C1422"/>
    <w:rsid w:val="004C2E15"/>
    <w:rsid w:val="004C43D7"/>
    <w:rsid w:val="004C4895"/>
    <w:rsid w:val="004D32F9"/>
    <w:rsid w:val="004D7189"/>
    <w:rsid w:val="004D73B0"/>
    <w:rsid w:val="004D7C6E"/>
    <w:rsid w:val="004E034F"/>
    <w:rsid w:val="004E0661"/>
    <w:rsid w:val="004E3914"/>
    <w:rsid w:val="004E5DAA"/>
    <w:rsid w:val="004E61A5"/>
    <w:rsid w:val="004E7814"/>
    <w:rsid w:val="004F0BB7"/>
    <w:rsid w:val="004F3B7A"/>
    <w:rsid w:val="004F3F52"/>
    <w:rsid w:val="004F50F8"/>
    <w:rsid w:val="004F7078"/>
    <w:rsid w:val="00502FA7"/>
    <w:rsid w:val="00504951"/>
    <w:rsid w:val="005073EA"/>
    <w:rsid w:val="00507E7B"/>
    <w:rsid w:val="00511D52"/>
    <w:rsid w:val="005149B9"/>
    <w:rsid w:val="00514B76"/>
    <w:rsid w:val="005161C6"/>
    <w:rsid w:val="0052445E"/>
    <w:rsid w:val="0052709D"/>
    <w:rsid w:val="005279E4"/>
    <w:rsid w:val="00527A9F"/>
    <w:rsid w:val="00532136"/>
    <w:rsid w:val="00532382"/>
    <w:rsid w:val="00533F0C"/>
    <w:rsid w:val="0053440D"/>
    <w:rsid w:val="005348D2"/>
    <w:rsid w:val="005364E4"/>
    <w:rsid w:val="00537709"/>
    <w:rsid w:val="00540666"/>
    <w:rsid w:val="00540948"/>
    <w:rsid w:val="00541852"/>
    <w:rsid w:val="0054519E"/>
    <w:rsid w:val="00546FB2"/>
    <w:rsid w:val="00547C66"/>
    <w:rsid w:val="005520F0"/>
    <w:rsid w:val="00552387"/>
    <w:rsid w:val="00552D10"/>
    <w:rsid w:val="00553F27"/>
    <w:rsid w:val="005544EE"/>
    <w:rsid w:val="005545B0"/>
    <w:rsid w:val="005554DD"/>
    <w:rsid w:val="0056046A"/>
    <w:rsid w:val="00561F13"/>
    <w:rsid w:val="00562DA4"/>
    <w:rsid w:val="00562F8B"/>
    <w:rsid w:val="00564145"/>
    <w:rsid w:val="00567610"/>
    <w:rsid w:val="00572619"/>
    <w:rsid w:val="005728DB"/>
    <w:rsid w:val="00574614"/>
    <w:rsid w:val="00574847"/>
    <w:rsid w:val="00576B5F"/>
    <w:rsid w:val="005813FB"/>
    <w:rsid w:val="005824D1"/>
    <w:rsid w:val="00582EE3"/>
    <w:rsid w:val="005858D4"/>
    <w:rsid w:val="00585DF7"/>
    <w:rsid w:val="00587765"/>
    <w:rsid w:val="00590D8C"/>
    <w:rsid w:val="00592241"/>
    <w:rsid w:val="005922AF"/>
    <w:rsid w:val="00593AD9"/>
    <w:rsid w:val="00594FEE"/>
    <w:rsid w:val="00595B79"/>
    <w:rsid w:val="005A1121"/>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C0DFB"/>
    <w:rsid w:val="005C37D8"/>
    <w:rsid w:val="005C568C"/>
    <w:rsid w:val="005C6C8B"/>
    <w:rsid w:val="005D12BC"/>
    <w:rsid w:val="005D207C"/>
    <w:rsid w:val="005D57C0"/>
    <w:rsid w:val="005D5868"/>
    <w:rsid w:val="005D7935"/>
    <w:rsid w:val="005D7B17"/>
    <w:rsid w:val="005D7EEF"/>
    <w:rsid w:val="005D7F8E"/>
    <w:rsid w:val="005E1632"/>
    <w:rsid w:val="005E170D"/>
    <w:rsid w:val="005E1D6F"/>
    <w:rsid w:val="005F008F"/>
    <w:rsid w:val="005F0D41"/>
    <w:rsid w:val="005F101D"/>
    <w:rsid w:val="005F18CA"/>
    <w:rsid w:val="005F467F"/>
    <w:rsid w:val="005F53CB"/>
    <w:rsid w:val="005F5FD2"/>
    <w:rsid w:val="005F6044"/>
    <w:rsid w:val="005F687D"/>
    <w:rsid w:val="0060010C"/>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2542"/>
    <w:rsid w:val="00625FA0"/>
    <w:rsid w:val="00632994"/>
    <w:rsid w:val="006342DD"/>
    <w:rsid w:val="006343E6"/>
    <w:rsid w:val="00635DE2"/>
    <w:rsid w:val="00635FB7"/>
    <w:rsid w:val="006410FA"/>
    <w:rsid w:val="00643A3E"/>
    <w:rsid w:val="00644B1C"/>
    <w:rsid w:val="0064570C"/>
    <w:rsid w:val="00645EB0"/>
    <w:rsid w:val="00646291"/>
    <w:rsid w:val="00647A87"/>
    <w:rsid w:val="00652C92"/>
    <w:rsid w:val="00653665"/>
    <w:rsid w:val="00660B54"/>
    <w:rsid w:val="006623D9"/>
    <w:rsid w:val="00662679"/>
    <w:rsid w:val="006668F7"/>
    <w:rsid w:val="00667F66"/>
    <w:rsid w:val="006702B1"/>
    <w:rsid w:val="00674BB6"/>
    <w:rsid w:val="006755C9"/>
    <w:rsid w:val="00680B0A"/>
    <w:rsid w:val="00680FF9"/>
    <w:rsid w:val="00681428"/>
    <w:rsid w:val="00681A2F"/>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5461"/>
    <w:rsid w:val="006A6AE3"/>
    <w:rsid w:val="006B24ED"/>
    <w:rsid w:val="006B2F65"/>
    <w:rsid w:val="006B39F7"/>
    <w:rsid w:val="006B7389"/>
    <w:rsid w:val="006C2C1B"/>
    <w:rsid w:val="006C2D3B"/>
    <w:rsid w:val="006C2DBE"/>
    <w:rsid w:val="006C4F29"/>
    <w:rsid w:val="006C7235"/>
    <w:rsid w:val="006D1249"/>
    <w:rsid w:val="006D21FE"/>
    <w:rsid w:val="006D2490"/>
    <w:rsid w:val="006E4E8B"/>
    <w:rsid w:val="006F0C4B"/>
    <w:rsid w:val="006F12AC"/>
    <w:rsid w:val="006F6309"/>
    <w:rsid w:val="006F6F9F"/>
    <w:rsid w:val="007044ED"/>
    <w:rsid w:val="0070582F"/>
    <w:rsid w:val="00707BCB"/>
    <w:rsid w:val="007100FD"/>
    <w:rsid w:val="00712292"/>
    <w:rsid w:val="00715D95"/>
    <w:rsid w:val="0071685A"/>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6A21"/>
    <w:rsid w:val="00750131"/>
    <w:rsid w:val="00751B07"/>
    <w:rsid w:val="00751CE1"/>
    <w:rsid w:val="00752025"/>
    <w:rsid w:val="00753466"/>
    <w:rsid w:val="0075539E"/>
    <w:rsid w:val="007561EE"/>
    <w:rsid w:val="00757470"/>
    <w:rsid w:val="00757EC6"/>
    <w:rsid w:val="007606A8"/>
    <w:rsid w:val="00761C6A"/>
    <w:rsid w:val="00761F0E"/>
    <w:rsid w:val="00762069"/>
    <w:rsid w:val="0076272F"/>
    <w:rsid w:val="00771649"/>
    <w:rsid w:val="00774559"/>
    <w:rsid w:val="007751A6"/>
    <w:rsid w:val="00775C4D"/>
    <w:rsid w:val="00775C5B"/>
    <w:rsid w:val="00780422"/>
    <w:rsid w:val="00781308"/>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4C0D"/>
    <w:rsid w:val="007A5F56"/>
    <w:rsid w:val="007A7D25"/>
    <w:rsid w:val="007B095A"/>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6F9B"/>
    <w:rsid w:val="007E71B2"/>
    <w:rsid w:val="007F38E6"/>
    <w:rsid w:val="007F474E"/>
    <w:rsid w:val="007F6A8C"/>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5C48"/>
    <w:rsid w:val="00826B6C"/>
    <w:rsid w:val="008276A1"/>
    <w:rsid w:val="00830128"/>
    <w:rsid w:val="00832FC1"/>
    <w:rsid w:val="008332DD"/>
    <w:rsid w:val="008349FC"/>
    <w:rsid w:val="00835353"/>
    <w:rsid w:val="00836507"/>
    <w:rsid w:val="00836E94"/>
    <w:rsid w:val="0083700C"/>
    <w:rsid w:val="0084029C"/>
    <w:rsid w:val="00844919"/>
    <w:rsid w:val="00844A5E"/>
    <w:rsid w:val="00845A3A"/>
    <w:rsid w:val="008466FE"/>
    <w:rsid w:val="008467F5"/>
    <w:rsid w:val="00846904"/>
    <w:rsid w:val="00846B80"/>
    <w:rsid w:val="00846D93"/>
    <w:rsid w:val="00847E83"/>
    <w:rsid w:val="00850BDD"/>
    <w:rsid w:val="008519EF"/>
    <w:rsid w:val="0085658B"/>
    <w:rsid w:val="00857B52"/>
    <w:rsid w:val="00861C2F"/>
    <w:rsid w:val="00863653"/>
    <w:rsid w:val="00863B5A"/>
    <w:rsid w:val="008762CC"/>
    <w:rsid w:val="00876B55"/>
    <w:rsid w:val="00880D88"/>
    <w:rsid w:val="00881183"/>
    <w:rsid w:val="008817B0"/>
    <w:rsid w:val="008825B2"/>
    <w:rsid w:val="00884F20"/>
    <w:rsid w:val="008850D2"/>
    <w:rsid w:val="00891182"/>
    <w:rsid w:val="00892267"/>
    <w:rsid w:val="008938BF"/>
    <w:rsid w:val="00893999"/>
    <w:rsid w:val="00896717"/>
    <w:rsid w:val="00896A6C"/>
    <w:rsid w:val="00897030"/>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4B9C"/>
    <w:rsid w:val="009151BF"/>
    <w:rsid w:val="00915C74"/>
    <w:rsid w:val="009210C3"/>
    <w:rsid w:val="00922711"/>
    <w:rsid w:val="00922780"/>
    <w:rsid w:val="0093015C"/>
    <w:rsid w:val="00931A86"/>
    <w:rsid w:val="00933108"/>
    <w:rsid w:val="00936B55"/>
    <w:rsid w:val="009402FA"/>
    <w:rsid w:val="0094095B"/>
    <w:rsid w:val="00944869"/>
    <w:rsid w:val="00946465"/>
    <w:rsid w:val="00947800"/>
    <w:rsid w:val="00952D47"/>
    <w:rsid w:val="009542FD"/>
    <w:rsid w:val="00960233"/>
    <w:rsid w:val="0096285C"/>
    <w:rsid w:val="00962DA0"/>
    <w:rsid w:val="00963C58"/>
    <w:rsid w:val="00964CE9"/>
    <w:rsid w:val="00964CF7"/>
    <w:rsid w:val="009650CA"/>
    <w:rsid w:val="00965279"/>
    <w:rsid w:val="00965C92"/>
    <w:rsid w:val="0097419F"/>
    <w:rsid w:val="00974C24"/>
    <w:rsid w:val="00976B0E"/>
    <w:rsid w:val="00976DA6"/>
    <w:rsid w:val="009809FA"/>
    <w:rsid w:val="00984AA3"/>
    <w:rsid w:val="009851C2"/>
    <w:rsid w:val="00986150"/>
    <w:rsid w:val="009A05C8"/>
    <w:rsid w:val="009A2573"/>
    <w:rsid w:val="009A2BD4"/>
    <w:rsid w:val="009A4E62"/>
    <w:rsid w:val="009A763C"/>
    <w:rsid w:val="009B2DD7"/>
    <w:rsid w:val="009B5C95"/>
    <w:rsid w:val="009B64A7"/>
    <w:rsid w:val="009B7E78"/>
    <w:rsid w:val="009C1C5B"/>
    <w:rsid w:val="009C1E2B"/>
    <w:rsid w:val="009C28A7"/>
    <w:rsid w:val="009C3354"/>
    <w:rsid w:val="009C69E0"/>
    <w:rsid w:val="009D11E8"/>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FBA"/>
    <w:rsid w:val="00A02607"/>
    <w:rsid w:val="00A04D2C"/>
    <w:rsid w:val="00A07AE0"/>
    <w:rsid w:val="00A12734"/>
    <w:rsid w:val="00A1580D"/>
    <w:rsid w:val="00A1609C"/>
    <w:rsid w:val="00A17978"/>
    <w:rsid w:val="00A234EC"/>
    <w:rsid w:val="00A24F5B"/>
    <w:rsid w:val="00A26099"/>
    <w:rsid w:val="00A27D0A"/>
    <w:rsid w:val="00A27E14"/>
    <w:rsid w:val="00A30AD0"/>
    <w:rsid w:val="00A31CA6"/>
    <w:rsid w:val="00A31F22"/>
    <w:rsid w:val="00A32F71"/>
    <w:rsid w:val="00A336DA"/>
    <w:rsid w:val="00A34FFC"/>
    <w:rsid w:val="00A35C19"/>
    <w:rsid w:val="00A36952"/>
    <w:rsid w:val="00A36E49"/>
    <w:rsid w:val="00A37B7D"/>
    <w:rsid w:val="00A37C0D"/>
    <w:rsid w:val="00A40B69"/>
    <w:rsid w:val="00A422A4"/>
    <w:rsid w:val="00A43F61"/>
    <w:rsid w:val="00A441E3"/>
    <w:rsid w:val="00A47C92"/>
    <w:rsid w:val="00A47CAF"/>
    <w:rsid w:val="00A50131"/>
    <w:rsid w:val="00A507FD"/>
    <w:rsid w:val="00A52D43"/>
    <w:rsid w:val="00A53604"/>
    <w:rsid w:val="00A5610A"/>
    <w:rsid w:val="00A56A30"/>
    <w:rsid w:val="00A57BE3"/>
    <w:rsid w:val="00A62FCA"/>
    <w:rsid w:val="00A64420"/>
    <w:rsid w:val="00A66A2A"/>
    <w:rsid w:val="00A712F9"/>
    <w:rsid w:val="00A71882"/>
    <w:rsid w:val="00A71C0C"/>
    <w:rsid w:val="00A736C2"/>
    <w:rsid w:val="00A753A9"/>
    <w:rsid w:val="00A763D9"/>
    <w:rsid w:val="00A77742"/>
    <w:rsid w:val="00A77925"/>
    <w:rsid w:val="00A82D7D"/>
    <w:rsid w:val="00A832BE"/>
    <w:rsid w:val="00A84F92"/>
    <w:rsid w:val="00A853BD"/>
    <w:rsid w:val="00A866DA"/>
    <w:rsid w:val="00A90EA5"/>
    <w:rsid w:val="00A92742"/>
    <w:rsid w:val="00A929E3"/>
    <w:rsid w:val="00AA2483"/>
    <w:rsid w:val="00AA3204"/>
    <w:rsid w:val="00AA3E92"/>
    <w:rsid w:val="00AA440F"/>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75A"/>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41BF"/>
    <w:rsid w:val="00B85D77"/>
    <w:rsid w:val="00B87E40"/>
    <w:rsid w:val="00B90BC6"/>
    <w:rsid w:val="00B9139D"/>
    <w:rsid w:val="00B915D6"/>
    <w:rsid w:val="00B9341F"/>
    <w:rsid w:val="00B934DA"/>
    <w:rsid w:val="00B940DE"/>
    <w:rsid w:val="00B95F63"/>
    <w:rsid w:val="00B96CD2"/>
    <w:rsid w:val="00BA08C3"/>
    <w:rsid w:val="00BA12C6"/>
    <w:rsid w:val="00BA1B44"/>
    <w:rsid w:val="00BA3BE2"/>
    <w:rsid w:val="00BA46B9"/>
    <w:rsid w:val="00BA53C7"/>
    <w:rsid w:val="00BA5A5F"/>
    <w:rsid w:val="00BA6D7D"/>
    <w:rsid w:val="00BA70CE"/>
    <w:rsid w:val="00BA7D46"/>
    <w:rsid w:val="00BB108E"/>
    <w:rsid w:val="00BB1E5C"/>
    <w:rsid w:val="00BB27ED"/>
    <w:rsid w:val="00BB2905"/>
    <w:rsid w:val="00BB2AC0"/>
    <w:rsid w:val="00BC0E81"/>
    <w:rsid w:val="00BC1B22"/>
    <w:rsid w:val="00BC75DD"/>
    <w:rsid w:val="00BD066B"/>
    <w:rsid w:val="00BD5037"/>
    <w:rsid w:val="00BD51F4"/>
    <w:rsid w:val="00BD6803"/>
    <w:rsid w:val="00BD7712"/>
    <w:rsid w:val="00BE0E92"/>
    <w:rsid w:val="00BE29F1"/>
    <w:rsid w:val="00BE4613"/>
    <w:rsid w:val="00BF1A4A"/>
    <w:rsid w:val="00BF256B"/>
    <w:rsid w:val="00BF5F13"/>
    <w:rsid w:val="00C00EBA"/>
    <w:rsid w:val="00C03471"/>
    <w:rsid w:val="00C07FDF"/>
    <w:rsid w:val="00C10CAD"/>
    <w:rsid w:val="00C11CCF"/>
    <w:rsid w:val="00C11D44"/>
    <w:rsid w:val="00C12909"/>
    <w:rsid w:val="00C14DFF"/>
    <w:rsid w:val="00C15B4C"/>
    <w:rsid w:val="00C16CDE"/>
    <w:rsid w:val="00C17257"/>
    <w:rsid w:val="00C22BE2"/>
    <w:rsid w:val="00C22EA6"/>
    <w:rsid w:val="00C23F02"/>
    <w:rsid w:val="00C23FC4"/>
    <w:rsid w:val="00C24312"/>
    <w:rsid w:val="00C270D9"/>
    <w:rsid w:val="00C27620"/>
    <w:rsid w:val="00C31E2B"/>
    <w:rsid w:val="00C32AD1"/>
    <w:rsid w:val="00C3551D"/>
    <w:rsid w:val="00C36B86"/>
    <w:rsid w:val="00C36C7A"/>
    <w:rsid w:val="00C37F52"/>
    <w:rsid w:val="00C37FF4"/>
    <w:rsid w:val="00C404CE"/>
    <w:rsid w:val="00C41236"/>
    <w:rsid w:val="00C4173E"/>
    <w:rsid w:val="00C42BA0"/>
    <w:rsid w:val="00C42F61"/>
    <w:rsid w:val="00C43344"/>
    <w:rsid w:val="00C46401"/>
    <w:rsid w:val="00C512A4"/>
    <w:rsid w:val="00C515F5"/>
    <w:rsid w:val="00C53128"/>
    <w:rsid w:val="00C53AC7"/>
    <w:rsid w:val="00C543B4"/>
    <w:rsid w:val="00C56B22"/>
    <w:rsid w:val="00C56F91"/>
    <w:rsid w:val="00C57A9E"/>
    <w:rsid w:val="00C6030F"/>
    <w:rsid w:val="00C609E8"/>
    <w:rsid w:val="00C61149"/>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02BB"/>
    <w:rsid w:val="00CD164E"/>
    <w:rsid w:val="00CD5396"/>
    <w:rsid w:val="00CD5C6D"/>
    <w:rsid w:val="00CD64B1"/>
    <w:rsid w:val="00CD770C"/>
    <w:rsid w:val="00CE27E7"/>
    <w:rsid w:val="00CE47E2"/>
    <w:rsid w:val="00CE6475"/>
    <w:rsid w:val="00CE6D97"/>
    <w:rsid w:val="00CF037B"/>
    <w:rsid w:val="00CF1BFC"/>
    <w:rsid w:val="00CF4649"/>
    <w:rsid w:val="00CF659D"/>
    <w:rsid w:val="00CF6F10"/>
    <w:rsid w:val="00CF76BD"/>
    <w:rsid w:val="00D0133D"/>
    <w:rsid w:val="00D018B6"/>
    <w:rsid w:val="00D064D9"/>
    <w:rsid w:val="00D0748D"/>
    <w:rsid w:val="00D07B69"/>
    <w:rsid w:val="00D07E48"/>
    <w:rsid w:val="00D10A7B"/>
    <w:rsid w:val="00D14C3D"/>
    <w:rsid w:val="00D15132"/>
    <w:rsid w:val="00D1530A"/>
    <w:rsid w:val="00D16D16"/>
    <w:rsid w:val="00D172D4"/>
    <w:rsid w:val="00D17733"/>
    <w:rsid w:val="00D2090C"/>
    <w:rsid w:val="00D224F5"/>
    <w:rsid w:val="00D22954"/>
    <w:rsid w:val="00D24094"/>
    <w:rsid w:val="00D261B4"/>
    <w:rsid w:val="00D26752"/>
    <w:rsid w:val="00D269FE"/>
    <w:rsid w:val="00D26C39"/>
    <w:rsid w:val="00D27B45"/>
    <w:rsid w:val="00D30A08"/>
    <w:rsid w:val="00D40F31"/>
    <w:rsid w:val="00D42260"/>
    <w:rsid w:val="00D44139"/>
    <w:rsid w:val="00D47AEC"/>
    <w:rsid w:val="00D47D97"/>
    <w:rsid w:val="00D501B6"/>
    <w:rsid w:val="00D50E13"/>
    <w:rsid w:val="00D52791"/>
    <w:rsid w:val="00D547B3"/>
    <w:rsid w:val="00D554A8"/>
    <w:rsid w:val="00D57676"/>
    <w:rsid w:val="00D6641B"/>
    <w:rsid w:val="00D67DBF"/>
    <w:rsid w:val="00D71030"/>
    <w:rsid w:val="00D72CC5"/>
    <w:rsid w:val="00D72D47"/>
    <w:rsid w:val="00D7429D"/>
    <w:rsid w:val="00D752F8"/>
    <w:rsid w:val="00D76164"/>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E9"/>
    <w:rsid w:val="00DF7FF4"/>
    <w:rsid w:val="00E00419"/>
    <w:rsid w:val="00E04021"/>
    <w:rsid w:val="00E044BA"/>
    <w:rsid w:val="00E064C9"/>
    <w:rsid w:val="00E07625"/>
    <w:rsid w:val="00E154AA"/>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42901"/>
    <w:rsid w:val="00E42E49"/>
    <w:rsid w:val="00E42EA3"/>
    <w:rsid w:val="00E43884"/>
    <w:rsid w:val="00E440CC"/>
    <w:rsid w:val="00E4533B"/>
    <w:rsid w:val="00E45B4D"/>
    <w:rsid w:val="00E5014C"/>
    <w:rsid w:val="00E508D5"/>
    <w:rsid w:val="00E51D15"/>
    <w:rsid w:val="00E53003"/>
    <w:rsid w:val="00E53AFE"/>
    <w:rsid w:val="00E5534A"/>
    <w:rsid w:val="00E55A51"/>
    <w:rsid w:val="00E55B09"/>
    <w:rsid w:val="00E55C7C"/>
    <w:rsid w:val="00E6145A"/>
    <w:rsid w:val="00E617E8"/>
    <w:rsid w:val="00E62749"/>
    <w:rsid w:val="00E6588E"/>
    <w:rsid w:val="00E65D72"/>
    <w:rsid w:val="00E678D5"/>
    <w:rsid w:val="00E719FA"/>
    <w:rsid w:val="00E7376E"/>
    <w:rsid w:val="00E74E67"/>
    <w:rsid w:val="00E767CC"/>
    <w:rsid w:val="00E77119"/>
    <w:rsid w:val="00E77504"/>
    <w:rsid w:val="00E80A01"/>
    <w:rsid w:val="00E81F35"/>
    <w:rsid w:val="00E82D30"/>
    <w:rsid w:val="00E8474D"/>
    <w:rsid w:val="00E84B5D"/>
    <w:rsid w:val="00E85B36"/>
    <w:rsid w:val="00E9039B"/>
    <w:rsid w:val="00E9115A"/>
    <w:rsid w:val="00E91FED"/>
    <w:rsid w:val="00E95571"/>
    <w:rsid w:val="00E97CFD"/>
    <w:rsid w:val="00EA03C6"/>
    <w:rsid w:val="00EA140F"/>
    <w:rsid w:val="00EA1696"/>
    <w:rsid w:val="00EA2D95"/>
    <w:rsid w:val="00EA32C1"/>
    <w:rsid w:val="00EA480E"/>
    <w:rsid w:val="00EA79E9"/>
    <w:rsid w:val="00EB1892"/>
    <w:rsid w:val="00EB26DF"/>
    <w:rsid w:val="00EB318C"/>
    <w:rsid w:val="00EB3D7E"/>
    <w:rsid w:val="00EB4B6C"/>
    <w:rsid w:val="00EB5C54"/>
    <w:rsid w:val="00EB6205"/>
    <w:rsid w:val="00EB7184"/>
    <w:rsid w:val="00EB7770"/>
    <w:rsid w:val="00EC0188"/>
    <w:rsid w:val="00EC3EC0"/>
    <w:rsid w:val="00EC4B67"/>
    <w:rsid w:val="00EC5795"/>
    <w:rsid w:val="00ED0085"/>
    <w:rsid w:val="00ED213D"/>
    <w:rsid w:val="00ED2B43"/>
    <w:rsid w:val="00ED7FBF"/>
    <w:rsid w:val="00EE0411"/>
    <w:rsid w:val="00EE07BF"/>
    <w:rsid w:val="00EE176F"/>
    <w:rsid w:val="00EE3CB9"/>
    <w:rsid w:val="00EE5F6F"/>
    <w:rsid w:val="00EE7394"/>
    <w:rsid w:val="00EE7C40"/>
    <w:rsid w:val="00EF5610"/>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95A"/>
    <w:rsid w:val="00F629E5"/>
    <w:rsid w:val="00F6407F"/>
    <w:rsid w:val="00F64084"/>
    <w:rsid w:val="00F651B1"/>
    <w:rsid w:val="00F656B2"/>
    <w:rsid w:val="00F66F19"/>
    <w:rsid w:val="00F7338B"/>
    <w:rsid w:val="00F73523"/>
    <w:rsid w:val="00F75375"/>
    <w:rsid w:val="00F7676F"/>
    <w:rsid w:val="00F77261"/>
    <w:rsid w:val="00F833C0"/>
    <w:rsid w:val="00F83CCA"/>
    <w:rsid w:val="00F850F5"/>
    <w:rsid w:val="00F85264"/>
    <w:rsid w:val="00F863FE"/>
    <w:rsid w:val="00F86E73"/>
    <w:rsid w:val="00F90076"/>
    <w:rsid w:val="00F93358"/>
    <w:rsid w:val="00F93F4C"/>
    <w:rsid w:val="00F9587D"/>
    <w:rsid w:val="00F96D0E"/>
    <w:rsid w:val="00FA1710"/>
    <w:rsid w:val="00FA178E"/>
    <w:rsid w:val="00FA402E"/>
    <w:rsid w:val="00FA466C"/>
    <w:rsid w:val="00FA6E9D"/>
    <w:rsid w:val="00FA702F"/>
    <w:rsid w:val="00FB26F2"/>
    <w:rsid w:val="00FB2F70"/>
    <w:rsid w:val="00FB5EE9"/>
    <w:rsid w:val="00FC0BB3"/>
    <w:rsid w:val="00FC1838"/>
    <w:rsid w:val="00FC1E39"/>
    <w:rsid w:val="00FC5234"/>
    <w:rsid w:val="00FD11DF"/>
    <w:rsid w:val="00FD1EBB"/>
    <w:rsid w:val="00FD3E3E"/>
    <w:rsid w:val="00FD497E"/>
    <w:rsid w:val="00FD6A4B"/>
    <w:rsid w:val="00FD7B8C"/>
    <w:rsid w:val="00FE093C"/>
    <w:rsid w:val="00FE1EB1"/>
    <w:rsid w:val="00FE2653"/>
    <w:rsid w:val="00FE3094"/>
    <w:rsid w:val="00FE3425"/>
    <w:rsid w:val="00FE4572"/>
    <w:rsid w:val="00FE5F23"/>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935E"/>
  <w15:docId w15:val="{EB6DFD5C-2B5A-42AE-9023-D1DD41A1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3C2"/>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5141</Words>
  <Characters>29307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34380</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2026-04-02T20:17:00Z</dcterms:created>
  <dcterms:modified xsi:type="dcterms:W3CDTF">2026-04-02T20:17:00Z</dcterms:modified>
</cp:coreProperties>
</file>