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8D5C" w14:textId="77777777" w:rsidR="005F5B62" w:rsidRPr="00337E58" w:rsidRDefault="005F5B62" w:rsidP="005F5B62">
      <w:pPr>
        <w:pStyle w:val="Heading1"/>
      </w:pPr>
      <w:r w:rsidRPr="00337E58">
        <w:t>FINDINGS OF FACT</w:t>
      </w:r>
    </w:p>
    <w:p w14:paraId="55F6B320" w14:textId="77777777" w:rsidR="005F5B62" w:rsidRPr="00337E58" w:rsidRDefault="005F5B62">
      <w:pPr>
        <w:jc w:val="left"/>
      </w:pPr>
    </w:p>
    <w:p w14:paraId="7442AF02" w14:textId="58D1D4BB" w:rsidR="005F5B62" w:rsidRPr="00337E58" w:rsidRDefault="005F5B62" w:rsidP="005F5B62">
      <w:pPr>
        <w:pStyle w:val="BodyText"/>
        <w:rPr>
          <w:szCs w:val="24"/>
        </w:rPr>
      </w:pPr>
      <w:r w:rsidRPr="00337E58">
        <w:rPr>
          <w:szCs w:val="24"/>
        </w:rPr>
        <w:t xml:space="preserve">After </w:t>
      </w:r>
      <w:proofErr w:type="gramStart"/>
      <w:r w:rsidRPr="00337E58">
        <w:rPr>
          <w:szCs w:val="24"/>
        </w:rPr>
        <w:t>review of</w:t>
      </w:r>
      <w:proofErr w:type="gramEnd"/>
      <w:r w:rsidRPr="00337E58">
        <w:rPr>
          <w:szCs w:val="24"/>
        </w:rPr>
        <w:t xml:space="preserve"> the air emission license </w:t>
      </w:r>
      <w:r w:rsidRPr="00337E58">
        <w:rPr>
          <w:bCs/>
          <w:iCs/>
          <w:szCs w:val="24"/>
        </w:rPr>
        <w:t>renewal</w:t>
      </w:r>
      <w:r w:rsidRPr="00337E58">
        <w:rPr>
          <w:szCs w:val="24"/>
        </w:rP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3D40DE81" w14:textId="77777777" w:rsidR="005F5B62" w:rsidRPr="00337E58" w:rsidRDefault="005F5B62">
      <w:pPr>
        <w:jc w:val="left"/>
      </w:pPr>
    </w:p>
    <w:p w14:paraId="7CA4E196" w14:textId="77777777" w:rsidR="005F5B62" w:rsidRPr="00337E58" w:rsidRDefault="005F5B62" w:rsidP="005F5B62">
      <w:pPr>
        <w:pStyle w:val="Heading2"/>
      </w:pPr>
      <w:r w:rsidRPr="00337E58">
        <w:t>REGISTRATION</w:t>
      </w:r>
    </w:p>
    <w:p w14:paraId="5C6F38D1" w14:textId="77777777" w:rsidR="005F5B62" w:rsidRPr="00337E58" w:rsidRDefault="005F5B62">
      <w:pPr>
        <w:jc w:val="left"/>
      </w:pPr>
    </w:p>
    <w:p w14:paraId="31E3978C" w14:textId="77777777" w:rsidR="005F5B62" w:rsidRPr="00337E58" w:rsidRDefault="005F5B62" w:rsidP="005F5B62">
      <w:pPr>
        <w:pStyle w:val="Heading3"/>
      </w:pPr>
      <w:r w:rsidRPr="00337E58">
        <w:t>Introduction</w:t>
      </w:r>
    </w:p>
    <w:p w14:paraId="0339A5BD" w14:textId="77777777" w:rsidR="005F5B62" w:rsidRPr="00337E58" w:rsidRDefault="005F5B62" w:rsidP="005F5B62"/>
    <w:p w14:paraId="3FCEA3F6" w14:textId="025CEBB0" w:rsidR="005F5B62" w:rsidRPr="00337E58" w:rsidRDefault="0026198C" w:rsidP="005F5B62">
      <w:pPr>
        <w:ind w:left="720"/>
      </w:pPr>
      <w:r w:rsidRPr="00337E58">
        <w:rPr>
          <w:bCs/>
          <w:iCs/>
        </w:rPr>
        <w:t>Naval Support Activity</w:t>
      </w:r>
      <w:r w:rsidR="00F060C1" w:rsidRPr="00337E58">
        <w:rPr>
          <w:bCs/>
          <w:iCs/>
        </w:rPr>
        <w:t xml:space="preserve"> Maine, Special Area</w:t>
      </w:r>
      <w:r w:rsidRPr="00337E58">
        <w:rPr>
          <w:bCs/>
          <w:iCs/>
        </w:rPr>
        <w:t xml:space="preserve"> Prospect Harbor (NSAPH) </w:t>
      </w:r>
      <w:r w:rsidR="005F5B62" w:rsidRPr="00337E58">
        <w:t xml:space="preserve">has applied </w:t>
      </w:r>
      <w:r w:rsidR="005F5B62" w:rsidRPr="00337E58">
        <w:rPr>
          <w:bCs/>
          <w:iCs/>
        </w:rPr>
        <w:t>to</w:t>
      </w:r>
      <w:r w:rsidR="005F5B62" w:rsidRPr="00337E58">
        <w:rPr>
          <w:b/>
          <w:i/>
        </w:rPr>
        <w:t xml:space="preserve"> </w:t>
      </w:r>
      <w:r w:rsidR="005F5B62" w:rsidRPr="00337E58">
        <w:rPr>
          <w:bCs/>
          <w:iCs/>
        </w:rPr>
        <w:t>renew their</w:t>
      </w:r>
      <w:r w:rsidR="005F5B62" w:rsidRPr="00337E58">
        <w:rPr>
          <w:b/>
          <w:i/>
        </w:rPr>
        <w:t xml:space="preserve"> </w:t>
      </w:r>
      <w:r w:rsidR="005F5B62" w:rsidRPr="00337E58">
        <w:t>Air Emission License for the operation of emission sources associated with the</w:t>
      </w:r>
      <w:r w:rsidRPr="00337E58">
        <w:t xml:space="preserve"> United States Navy’s satellite communications </w:t>
      </w:r>
      <w:r w:rsidR="005F5B62" w:rsidRPr="00337E58">
        <w:t>facility.</w:t>
      </w:r>
    </w:p>
    <w:p w14:paraId="7574EE21" w14:textId="77777777" w:rsidR="005F5B62" w:rsidRPr="00337E58" w:rsidRDefault="005F5B62" w:rsidP="005F5B62">
      <w:pPr>
        <w:ind w:left="720"/>
      </w:pPr>
    </w:p>
    <w:p w14:paraId="21E0590F" w14:textId="540B31E8" w:rsidR="005F5B62" w:rsidRPr="00337E58" w:rsidRDefault="005F5B62" w:rsidP="005F5B62">
      <w:pPr>
        <w:ind w:left="720"/>
      </w:pPr>
      <w:r w:rsidRPr="00337E58">
        <w:t xml:space="preserve">The equipment addressed in this license is located at </w:t>
      </w:r>
      <w:r w:rsidR="0026198C" w:rsidRPr="00337E58">
        <w:rPr>
          <w:bCs/>
          <w:iCs/>
        </w:rPr>
        <w:t>15 Lighthouse Point</w:t>
      </w:r>
      <w:r w:rsidRPr="00337E58">
        <w:rPr>
          <w:bCs/>
          <w:iCs/>
        </w:rPr>
        <w:t xml:space="preserve"> Rd,</w:t>
      </w:r>
      <w:r w:rsidR="0026198C" w:rsidRPr="00337E58">
        <w:rPr>
          <w:bCs/>
          <w:iCs/>
        </w:rPr>
        <w:t xml:space="preserve"> Prospect Harbor</w:t>
      </w:r>
      <w:r w:rsidRPr="00337E58">
        <w:rPr>
          <w:bCs/>
          <w:iCs/>
        </w:rPr>
        <w:t xml:space="preserve">, </w:t>
      </w:r>
      <w:r w:rsidRPr="00337E58">
        <w:t>Maine.</w:t>
      </w:r>
    </w:p>
    <w:p w14:paraId="39D1E4CE" w14:textId="77777777" w:rsidR="005F5B62" w:rsidRPr="00337E58" w:rsidRDefault="005F5B62" w:rsidP="005F5B62"/>
    <w:p w14:paraId="4443815D" w14:textId="77777777" w:rsidR="005F5B62" w:rsidRPr="00337E58" w:rsidRDefault="005F5B62" w:rsidP="005F5B62">
      <w:pPr>
        <w:pStyle w:val="Heading3"/>
      </w:pPr>
      <w:r w:rsidRPr="00337E58">
        <w:t>Emission Equipment</w:t>
      </w:r>
    </w:p>
    <w:p w14:paraId="6CC69C6E" w14:textId="77777777" w:rsidR="005F5B62" w:rsidRPr="00337E58" w:rsidRDefault="005F5B62" w:rsidP="005F5B62">
      <w:pPr>
        <w:pStyle w:val="BodyTextIndent"/>
        <w:tabs>
          <w:tab w:val="left" w:pos="720"/>
        </w:tabs>
        <w:spacing w:after="0"/>
      </w:pPr>
    </w:p>
    <w:p w14:paraId="1A6C2B63" w14:textId="4C8662CE" w:rsidR="005F5B62" w:rsidRPr="00337E58" w:rsidRDefault="005F5B62" w:rsidP="005F5B62">
      <w:pPr>
        <w:pStyle w:val="BodyTextIndent"/>
        <w:tabs>
          <w:tab w:val="left" w:pos="720"/>
        </w:tabs>
        <w:spacing w:after="0"/>
        <w:ind w:left="720"/>
      </w:pPr>
      <w:r w:rsidRPr="00337E58">
        <w:t>The following equipment is addressed in this air emission license:</w:t>
      </w:r>
    </w:p>
    <w:p w14:paraId="0BE80569" w14:textId="77777777" w:rsidR="005F5B62" w:rsidRPr="00337E58" w:rsidRDefault="005F5B62" w:rsidP="005F5B62"/>
    <w:p w14:paraId="5F2452D4" w14:textId="77777777" w:rsidR="005F5B62" w:rsidRPr="00337E58" w:rsidRDefault="005F5B62" w:rsidP="005F5B62">
      <w:pPr>
        <w:jc w:val="center"/>
      </w:pPr>
      <w:r w:rsidRPr="00337E58">
        <w:rPr>
          <w:b/>
        </w:rPr>
        <w:t>Stationary Engines</w:t>
      </w:r>
    </w:p>
    <w:p w14:paraId="0F8A6603" w14:textId="77777777" w:rsidR="005F5B62" w:rsidRPr="00337E58" w:rsidRDefault="005F5B62" w:rsidP="005F5B62"/>
    <w:tbl>
      <w:tblPr>
        <w:tblW w:w="10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605"/>
        <w:gridCol w:w="1597"/>
        <w:gridCol w:w="1823"/>
        <w:gridCol w:w="1710"/>
        <w:gridCol w:w="1417"/>
        <w:gridCol w:w="990"/>
        <w:gridCol w:w="990"/>
      </w:tblGrid>
      <w:tr w:rsidR="005F5B62" w:rsidRPr="00337E58" w14:paraId="63BF3A55" w14:textId="77777777" w:rsidTr="00337E58">
        <w:trPr>
          <w:tblHeader/>
          <w:jc w:val="center"/>
        </w:trPr>
        <w:tc>
          <w:tcPr>
            <w:tcW w:w="1605" w:type="dxa"/>
            <w:shd w:val="clear" w:color="auto" w:fill="D9D9D9" w:themeFill="background1" w:themeFillShade="D9"/>
            <w:vAlign w:val="bottom"/>
          </w:tcPr>
          <w:p w14:paraId="4B783025" w14:textId="77777777" w:rsidR="005F5B62" w:rsidRPr="00337E58" w:rsidRDefault="005F5B62" w:rsidP="00D42750">
            <w:pPr>
              <w:pStyle w:val="Heading3"/>
              <w:numPr>
                <w:ilvl w:val="0"/>
                <w:numId w:val="0"/>
              </w:numPr>
              <w:jc w:val="center"/>
              <w:rPr>
                <w:b/>
                <w:u w:val="none"/>
              </w:rPr>
            </w:pPr>
            <w:r w:rsidRPr="00337E58">
              <w:rPr>
                <w:b/>
                <w:u w:val="none"/>
              </w:rPr>
              <w:t>Equipment</w:t>
            </w:r>
          </w:p>
        </w:tc>
        <w:tc>
          <w:tcPr>
            <w:tcW w:w="1597" w:type="dxa"/>
            <w:shd w:val="clear" w:color="auto" w:fill="D9D9D9" w:themeFill="background1" w:themeFillShade="D9"/>
          </w:tcPr>
          <w:p w14:paraId="5CDBD7FA" w14:textId="77777777" w:rsidR="005F5B62" w:rsidRPr="00337E58" w:rsidRDefault="005F5B62" w:rsidP="00D42750">
            <w:pPr>
              <w:jc w:val="center"/>
              <w:rPr>
                <w:b/>
              </w:rPr>
            </w:pPr>
            <w:r w:rsidRPr="00337E58">
              <w:rPr>
                <w:b/>
              </w:rPr>
              <w:t>Max. Input Capacity (MMBtu/hr)</w:t>
            </w:r>
          </w:p>
        </w:tc>
        <w:tc>
          <w:tcPr>
            <w:tcW w:w="1823" w:type="dxa"/>
            <w:shd w:val="clear" w:color="auto" w:fill="D9D9D9" w:themeFill="background1" w:themeFillShade="D9"/>
            <w:vAlign w:val="bottom"/>
          </w:tcPr>
          <w:p w14:paraId="78F9782B" w14:textId="77777777" w:rsidR="005F5B62" w:rsidRPr="00337E58" w:rsidRDefault="005F5B62" w:rsidP="00D42750">
            <w:pPr>
              <w:jc w:val="center"/>
              <w:rPr>
                <w:b/>
              </w:rPr>
            </w:pPr>
            <w:r w:rsidRPr="00337E58">
              <w:rPr>
                <w:b/>
              </w:rPr>
              <w:t xml:space="preserve">Rated Output Capacity </w:t>
            </w:r>
          </w:p>
          <w:p w14:paraId="15840E79" w14:textId="0D338022" w:rsidR="005F5B62" w:rsidRPr="00337E58" w:rsidRDefault="005F5B62" w:rsidP="00D42750">
            <w:pPr>
              <w:jc w:val="center"/>
              <w:rPr>
                <w:b/>
              </w:rPr>
            </w:pPr>
            <w:r w:rsidRPr="00337E58">
              <w:rPr>
                <w:b/>
              </w:rPr>
              <w:t>(kW)</w:t>
            </w:r>
          </w:p>
        </w:tc>
        <w:tc>
          <w:tcPr>
            <w:tcW w:w="1710" w:type="dxa"/>
            <w:shd w:val="clear" w:color="auto" w:fill="D9D9D9" w:themeFill="background1" w:themeFillShade="D9"/>
            <w:vAlign w:val="bottom"/>
          </w:tcPr>
          <w:p w14:paraId="062BED62" w14:textId="77777777" w:rsidR="005F5B62" w:rsidRPr="00337E58" w:rsidRDefault="005F5B62" w:rsidP="00D42750">
            <w:pPr>
              <w:jc w:val="center"/>
              <w:rPr>
                <w:b/>
              </w:rPr>
            </w:pPr>
            <w:r w:rsidRPr="00337E58">
              <w:rPr>
                <w:b/>
              </w:rPr>
              <w:t xml:space="preserve"> Fuel Type</w:t>
            </w:r>
          </w:p>
        </w:tc>
        <w:tc>
          <w:tcPr>
            <w:tcW w:w="1417" w:type="dxa"/>
            <w:shd w:val="clear" w:color="auto" w:fill="D9D9D9" w:themeFill="background1" w:themeFillShade="D9"/>
            <w:vAlign w:val="bottom"/>
          </w:tcPr>
          <w:p w14:paraId="5E3E8FA2" w14:textId="77777777" w:rsidR="005F5B62" w:rsidRPr="00337E58" w:rsidRDefault="005F5B62" w:rsidP="00D42750">
            <w:pPr>
              <w:jc w:val="center"/>
              <w:rPr>
                <w:b/>
              </w:rPr>
            </w:pPr>
            <w:r w:rsidRPr="00337E58">
              <w:rPr>
                <w:b/>
              </w:rPr>
              <w:t>Firing Rate</w:t>
            </w:r>
          </w:p>
          <w:p w14:paraId="21191B30" w14:textId="77777777" w:rsidR="005F5B62" w:rsidRPr="00337E58" w:rsidRDefault="005F5B62" w:rsidP="00D42750">
            <w:pPr>
              <w:jc w:val="center"/>
              <w:rPr>
                <w:b/>
              </w:rPr>
            </w:pPr>
            <w:r w:rsidRPr="00337E58">
              <w:rPr>
                <w:b/>
              </w:rPr>
              <w:t>(gal/hr)</w:t>
            </w:r>
          </w:p>
        </w:tc>
        <w:tc>
          <w:tcPr>
            <w:tcW w:w="990" w:type="dxa"/>
            <w:shd w:val="clear" w:color="auto" w:fill="D9D9D9" w:themeFill="background1" w:themeFillShade="D9"/>
            <w:vAlign w:val="bottom"/>
          </w:tcPr>
          <w:p w14:paraId="5B34B20A" w14:textId="77777777" w:rsidR="005F5B62" w:rsidRPr="00337E58" w:rsidRDefault="005F5B62" w:rsidP="00D42750">
            <w:pPr>
              <w:jc w:val="center"/>
              <w:rPr>
                <w:b/>
              </w:rPr>
            </w:pPr>
            <w:r w:rsidRPr="00337E58">
              <w:rPr>
                <w:b/>
              </w:rPr>
              <w:t>Date of Manuf.</w:t>
            </w:r>
          </w:p>
        </w:tc>
        <w:tc>
          <w:tcPr>
            <w:tcW w:w="990" w:type="dxa"/>
            <w:shd w:val="clear" w:color="auto" w:fill="D9D9D9" w:themeFill="background1" w:themeFillShade="D9"/>
            <w:vAlign w:val="bottom"/>
          </w:tcPr>
          <w:p w14:paraId="0F9F0CEB" w14:textId="77777777" w:rsidR="005F5B62" w:rsidRPr="00337E58" w:rsidRDefault="005F5B62" w:rsidP="00D42750">
            <w:pPr>
              <w:pStyle w:val="Heading3"/>
              <w:numPr>
                <w:ilvl w:val="0"/>
                <w:numId w:val="0"/>
              </w:numPr>
              <w:jc w:val="center"/>
              <w:rPr>
                <w:b/>
                <w:u w:val="none"/>
              </w:rPr>
            </w:pPr>
            <w:r w:rsidRPr="00337E58">
              <w:rPr>
                <w:b/>
                <w:u w:val="none"/>
              </w:rPr>
              <w:t>Date of Install.</w:t>
            </w:r>
          </w:p>
        </w:tc>
      </w:tr>
      <w:tr w:rsidR="005F5B62" w:rsidRPr="00337E58" w14:paraId="10F482AA" w14:textId="77777777" w:rsidTr="00337E58">
        <w:trPr>
          <w:trHeight w:val="75"/>
          <w:jc w:val="center"/>
        </w:trPr>
        <w:tc>
          <w:tcPr>
            <w:tcW w:w="1605" w:type="dxa"/>
            <w:vAlign w:val="center"/>
          </w:tcPr>
          <w:p w14:paraId="3A2DBA1A" w14:textId="4514FF60" w:rsidR="005F5B62" w:rsidRPr="00337E58" w:rsidRDefault="009733A5" w:rsidP="00390999">
            <w:pPr>
              <w:jc w:val="left"/>
            </w:pPr>
            <w:r w:rsidRPr="00337E58">
              <w:t>GEN #102-01</w:t>
            </w:r>
          </w:p>
        </w:tc>
        <w:tc>
          <w:tcPr>
            <w:tcW w:w="1597" w:type="dxa"/>
            <w:vAlign w:val="center"/>
          </w:tcPr>
          <w:p w14:paraId="07494E84" w14:textId="7E186DCA" w:rsidR="005F5B62" w:rsidRPr="00337E58" w:rsidRDefault="009733A5" w:rsidP="00D42750">
            <w:pPr>
              <w:jc w:val="center"/>
            </w:pPr>
            <w:r w:rsidRPr="00337E58">
              <w:t>2.93</w:t>
            </w:r>
          </w:p>
        </w:tc>
        <w:tc>
          <w:tcPr>
            <w:tcW w:w="1823" w:type="dxa"/>
            <w:vAlign w:val="center"/>
          </w:tcPr>
          <w:p w14:paraId="2255D3FB" w14:textId="4B123A9F" w:rsidR="005F5B62" w:rsidRPr="00337E58" w:rsidRDefault="009733A5" w:rsidP="00D42750">
            <w:pPr>
              <w:jc w:val="center"/>
            </w:pPr>
            <w:r w:rsidRPr="00337E58">
              <w:t>300</w:t>
            </w:r>
          </w:p>
        </w:tc>
        <w:tc>
          <w:tcPr>
            <w:tcW w:w="1710" w:type="dxa"/>
            <w:vAlign w:val="center"/>
          </w:tcPr>
          <w:p w14:paraId="51B1F63C" w14:textId="406F20BB" w:rsidR="005F5B62" w:rsidRPr="00337E58" w:rsidRDefault="009733A5" w:rsidP="00D42750">
            <w:pPr>
              <w:jc w:val="center"/>
            </w:pPr>
            <w:r w:rsidRPr="00337E58">
              <w:t>Distillate Fuel</w:t>
            </w:r>
          </w:p>
        </w:tc>
        <w:tc>
          <w:tcPr>
            <w:tcW w:w="1417" w:type="dxa"/>
            <w:vAlign w:val="center"/>
          </w:tcPr>
          <w:p w14:paraId="33404286" w14:textId="0B27F548" w:rsidR="005F5B62" w:rsidRPr="00337E58" w:rsidRDefault="009733A5" w:rsidP="00D42750">
            <w:pPr>
              <w:jc w:val="center"/>
            </w:pPr>
            <w:r w:rsidRPr="00337E58">
              <w:t>22.2</w:t>
            </w:r>
          </w:p>
        </w:tc>
        <w:tc>
          <w:tcPr>
            <w:tcW w:w="990" w:type="dxa"/>
            <w:vAlign w:val="center"/>
          </w:tcPr>
          <w:p w14:paraId="4344E9A5" w14:textId="128A6BB3" w:rsidR="005F5B62" w:rsidRPr="00337E58" w:rsidRDefault="009733A5" w:rsidP="00D42750">
            <w:pPr>
              <w:jc w:val="center"/>
            </w:pPr>
            <w:r w:rsidRPr="00337E58">
              <w:t>2016</w:t>
            </w:r>
          </w:p>
        </w:tc>
        <w:tc>
          <w:tcPr>
            <w:tcW w:w="990" w:type="dxa"/>
            <w:vAlign w:val="center"/>
          </w:tcPr>
          <w:p w14:paraId="45C4260C" w14:textId="2884A3C0" w:rsidR="005F5B62" w:rsidRPr="00337E58" w:rsidRDefault="009733A5" w:rsidP="00D42750">
            <w:pPr>
              <w:jc w:val="center"/>
            </w:pPr>
            <w:r w:rsidRPr="00337E58">
              <w:t>2016</w:t>
            </w:r>
          </w:p>
        </w:tc>
      </w:tr>
      <w:tr w:rsidR="009733A5" w:rsidRPr="00337E58" w14:paraId="5137F6D9" w14:textId="77777777" w:rsidTr="00337E58">
        <w:trPr>
          <w:jc w:val="center"/>
        </w:trPr>
        <w:tc>
          <w:tcPr>
            <w:tcW w:w="1605" w:type="dxa"/>
            <w:vAlign w:val="center"/>
          </w:tcPr>
          <w:p w14:paraId="0F45613E" w14:textId="35E95FE4" w:rsidR="009733A5" w:rsidRPr="00337E58" w:rsidRDefault="009733A5" w:rsidP="009733A5">
            <w:pPr>
              <w:jc w:val="left"/>
            </w:pPr>
            <w:r w:rsidRPr="00337E58">
              <w:t>GEN #102-02</w:t>
            </w:r>
          </w:p>
        </w:tc>
        <w:tc>
          <w:tcPr>
            <w:tcW w:w="1597" w:type="dxa"/>
            <w:vAlign w:val="center"/>
          </w:tcPr>
          <w:p w14:paraId="73B044D0" w14:textId="6C581A40" w:rsidR="009733A5" w:rsidRPr="00337E58" w:rsidRDefault="009733A5" w:rsidP="009733A5">
            <w:pPr>
              <w:jc w:val="center"/>
            </w:pPr>
            <w:r w:rsidRPr="00337E58">
              <w:t>2.93</w:t>
            </w:r>
          </w:p>
        </w:tc>
        <w:tc>
          <w:tcPr>
            <w:tcW w:w="1823" w:type="dxa"/>
            <w:vAlign w:val="center"/>
          </w:tcPr>
          <w:p w14:paraId="4C4CCFBB" w14:textId="0AF40C74" w:rsidR="009733A5" w:rsidRPr="00337E58" w:rsidRDefault="009733A5" w:rsidP="009733A5">
            <w:pPr>
              <w:jc w:val="center"/>
            </w:pPr>
            <w:r w:rsidRPr="00337E58">
              <w:t>300</w:t>
            </w:r>
          </w:p>
        </w:tc>
        <w:tc>
          <w:tcPr>
            <w:tcW w:w="1710" w:type="dxa"/>
            <w:vAlign w:val="center"/>
          </w:tcPr>
          <w:p w14:paraId="39CA0FA0" w14:textId="4F8E73B7" w:rsidR="009733A5" w:rsidRPr="00337E58" w:rsidRDefault="009733A5" w:rsidP="009733A5">
            <w:pPr>
              <w:jc w:val="center"/>
            </w:pPr>
            <w:r w:rsidRPr="00337E58">
              <w:t>Distillate Fuel</w:t>
            </w:r>
          </w:p>
        </w:tc>
        <w:tc>
          <w:tcPr>
            <w:tcW w:w="1417" w:type="dxa"/>
            <w:vAlign w:val="center"/>
          </w:tcPr>
          <w:p w14:paraId="17C64D09" w14:textId="26FA0873" w:rsidR="009733A5" w:rsidRPr="00337E58" w:rsidRDefault="009733A5" w:rsidP="009733A5">
            <w:pPr>
              <w:jc w:val="center"/>
            </w:pPr>
            <w:r w:rsidRPr="00337E58">
              <w:t>22.2</w:t>
            </w:r>
          </w:p>
        </w:tc>
        <w:tc>
          <w:tcPr>
            <w:tcW w:w="990" w:type="dxa"/>
            <w:vAlign w:val="center"/>
          </w:tcPr>
          <w:p w14:paraId="2D8618EE" w14:textId="6122FCDE" w:rsidR="009733A5" w:rsidRPr="00337E58" w:rsidRDefault="009733A5" w:rsidP="009733A5">
            <w:pPr>
              <w:jc w:val="center"/>
            </w:pPr>
            <w:r w:rsidRPr="00337E58">
              <w:t>2016</w:t>
            </w:r>
          </w:p>
        </w:tc>
        <w:tc>
          <w:tcPr>
            <w:tcW w:w="990" w:type="dxa"/>
            <w:vAlign w:val="center"/>
          </w:tcPr>
          <w:p w14:paraId="0C7720F4" w14:textId="164BA95E" w:rsidR="009733A5" w:rsidRPr="00337E58" w:rsidRDefault="009733A5" w:rsidP="009733A5">
            <w:pPr>
              <w:jc w:val="center"/>
            </w:pPr>
            <w:r w:rsidRPr="00337E58">
              <w:t>2016</w:t>
            </w:r>
          </w:p>
        </w:tc>
      </w:tr>
    </w:tbl>
    <w:p w14:paraId="3EA7C8BA" w14:textId="25B7DA03" w:rsidR="00337E58" w:rsidRDefault="00337E58">
      <w:pPr>
        <w:jc w:val="left"/>
        <w:rPr>
          <w:u w:val="single"/>
        </w:rPr>
      </w:pPr>
    </w:p>
    <w:p w14:paraId="610BA447" w14:textId="6D38FF51" w:rsidR="005F5B62" w:rsidRPr="00337E58" w:rsidRDefault="005F5B62" w:rsidP="005F5B62">
      <w:pPr>
        <w:pStyle w:val="Heading3"/>
      </w:pPr>
      <w:r w:rsidRPr="00337E58">
        <w:t>Definitions</w:t>
      </w:r>
    </w:p>
    <w:p w14:paraId="5E506A88" w14:textId="77777777" w:rsidR="005F5B62" w:rsidRPr="00337E58" w:rsidRDefault="005F5B62" w:rsidP="009733A5"/>
    <w:p w14:paraId="4E13D213" w14:textId="77777777" w:rsidR="005F5B62" w:rsidRPr="00337E58" w:rsidRDefault="005F5B62" w:rsidP="005F5B62">
      <w:pPr>
        <w:ind w:left="720"/>
      </w:pPr>
      <w:r w:rsidRPr="00337E58">
        <w:rPr>
          <w:i/>
          <w:u w:val="single"/>
        </w:rPr>
        <w:t xml:space="preserve">Distillate Fuel </w:t>
      </w:r>
      <w:r w:rsidRPr="00337E58">
        <w:t>means the following:</w:t>
      </w:r>
    </w:p>
    <w:p w14:paraId="696F079B" w14:textId="77777777" w:rsidR="005F5B62" w:rsidRPr="00337E58" w:rsidRDefault="005F5B62" w:rsidP="005F5B62">
      <w:pPr>
        <w:numPr>
          <w:ilvl w:val="0"/>
          <w:numId w:val="7"/>
        </w:numPr>
      </w:pPr>
      <w:r w:rsidRPr="00337E58">
        <w:rPr>
          <w:color w:val="000000"/>
          <w:shd w:val="clear" w:color="auto" w:fill="FFFFFF"/>
        </w:rPr>
        <w:t>Fuel oil that complies with the specifications for fuel oil numbers 1 or 2, as defined by the American Society for Testing and Materials (ASTM) in ASTM </w:t>
      </w:r>
      <w:proofErr w:type="gramStart"/>
      <w:r w:rsidRPr="00337E58">
        <w:rPr>
          <w:color w:val="000000"/>
          <w:shd w:val="clear" w:color="auto" w:fill="FFFFFF"/>
        </w:rPr>
        <w:t>D396;</w:t>
      </w:r>
      <w:proofErr w:type="gramEnd"/>
    </w:p>
    <w:p w14:paraId="6383A3F1" w14:textId="77777777" w:rsidR="005F5B62" w:rsidRPr="00337E58" w:rsidRDefault="005F5B62" w:rsidP="005F5B62">
      <w:pPr>
        <w:numPr>
          <w:ilvl w:val="0"/>
          <w:numId w:val="7"/>
        </w:numPr>
      </w:pPr>
      <w:r w:rsidRPr="00337E58">
        <w:rPr>
          <w:color w:val="000000"/>
          <w:shd w:val="clear" w:color="auto" w:fill="FFFFFF"/>
        </w:rPr>
        <w:t xml:space="preserve">Diesel fuel oil numbers 1 or 2, as defined in ASTM </w:t>
      </w:r>
      <w:proofErr w:type="gramStart"/>
      <w:r w:rsidRPr="00337E58">
        <w:rPr>
          <w:color w:val="000000"/>
          <w:shd w:val="clear" w:color="auto" w:fill="FFFFFF"/>
        </w:rPr>
        <w:t>D975;</w:t>
      </w:r>
      <w:proofErr w:type="gramEnd"/>
    </w:p>
    <w:p w14:paraId="4C353E33" w14:textId="77777777" w:rsidR="005F5B62" w:rsidRPr="00337E58" w:rsidRDefault="005F5B62" w:rsidP="005F5B62">
      <w:pPr>
        <w:numPr>
          <w:ilvl w:val="0"/>
          <w:numId w:val="7"/>
        </w:numPr>
      </w:pPr>
      <w:r w:rsidRPr="00337E58">
        <w:rPr>
          <w:color w:val="000000"/>
          <w:shd w:val="clear" w:color="auto" w:fill="FFFFFF"/>
        </w:rPr>
        <w:lastRenderedPageBreak/>
        <w:t>Kerosene, as defined in ASTM </w:t>
      </w:r>
      <w:proofErr w:type="gramStart"/>
      <w:r w:rsidRPr="00337E58">
        <w:rPr>
          <w:color w:val="000000"/>
          <w:shd w:val="clear" w:color="auto" w:fill="FFFFFF"/>
        </w:rPr>
        <w:t>D3699;</w:t>
      </w:r>
      <w:proofErr w:type="gramEnd"/>
    </w:p>
    <w:p w14:paraId="31A008B7" w14:textId="77777777" w:rsidR="005F5B62" w:rsidRPr="00337E58" w:rsidRDefault="005F5B62" w:rsidP="005F5B62">
      <w:pPr>
        <w:numPr>
          <w:ilvl w:val="0"/>
          <w:numId w:val="7"/>
        </w:numPr>
      </w:pPr>
      <w:r w:rsidRPr="00337E58">
        <w:t>B</w:t>
      </w:r>
      <w:r w:rsidRPr="00337E58">
        <w:rPr>
          <w:color w:val="000000"/>
          <w:shd w:val="clear" w:color="auto" w:fill="FFFFFF"/>
        </w:rPr>
        <w:t xml:space="preserve">iodiesel, as defined in ASTM D6751; or </w:t>
      </w:r>
    </w:p>
    <w:p w14:paraId="637B1451" w14:textId="77777777" w:rsidR="005F5B62" w:rsidRPr="00337E58" w:rsidRDefault="005F5B62" w:rsidP="005F5B62">
      <w:pPr>
        <w:numPr>
          <w:ilvl w:val="0"/>
          <w:numId w:val="7"/>
        </w:numPr>
      </w:pPr>
      <w:r w:rsidRPr="00337E58">
        <w:rPr>
          <w:shd w:val="clear" w:color="auto" w:fill="FFFFFF"/>
        </w:rPr>
        <w:t>Biodiesel blends, as defined in ASTM D7467.</w:t>
      </w:r>
    </w:p>
    <w:p w14:paraId="1316E3D2" w14:textId="77777777" w:rsidR="005F5B62" w:rsidRPr="00337E58" w:rsidRDefault="005F5B62" w:rsidP="009733A5"/>
    <w:p w14:paraId="702E9A25" w14:textId="77777777" w:rsidR="005F5B62" w:rsidRPr="00337E58" w:rsidRDefault="005F5B62" w:rsidP="005F5B62">
      <w:pPr>
        <w:ind w:left="720"/>
      </w:pPr>
      <w:r w:rsidRPr="00337E58">
        <w:rPr>
          <w:i/>
          <w:u w:val="single"/>
        </w:rPr>
        <w:t>Records</w:t>
      </w:r>
      <w:r w:rsidRPr="00337E58">
        <w:t xml:space="preserve"> or</w:t>
      </w:r>
      <w:r w:rsidRPr="00337E58">
        <w:rPr>
          <w:i/>
          <w:u w:val="single"/>
        </w:rPr>
        <w:t xml:space="preserve"> Logs</w:t>
      </w:r>
      <w:r w:rsidRPr="00337E58">
        <w:t xml:space="preserve"> mean either hardcopy or electronic records.</w:t>
      </w:r>
    </w:p>
    <w:p w14:paraId="4859983C" w14:textId="77777777" w:rsidR="005F5B62" w:rsidRPr="00337E58" w:rsidRDefault="005F5B62" w:rsidP="005F5B62"/>
    <w:p w14:paraId="30320719" w14:textId="77777777" w:rsidR="005F5B62" w:rsidRPr="00337E58" w:rsidRDefault="005F5B62" w:rsidP="005F5B62">
      <w:pPr>
        <w:pStyle w:val="Heading3"/>
      </w:pPr>
      <w:r w:rsidRPr="00337E58">
        <w:t>Application Classification</w:t>
      </w:r>
    </w:p>
    <w:p w14:paraId="0A470C19" w14:textId="77777777" w:rsidR="005F5B62" w:rsidRPr="00337E58" w:rsidRDefault="005F5B62" w:rsidP="005F5B62"/>
    <w:p w14:paraId="62A7CF88" w14:textId="77777777" w:rsidR="005F5B62" w:rsidRPr="00337E58" w:rsidRDefault="005F5B62" w:rsidP="005F5B62">
      <w:pPr>
        <w:ind w:left="720"/>
      </w:pPr>
      <w:r w:rsidRPr="00337E58">
        <w:t>All rules, regulations, or statutes referenced in this air emission license refer to the amended version in effect as of the date this license was issued.</w:t>
      </w:r>
    </w:p>
    <w:p w14:paraId="5AD173F0" w14:textId="77777777" w:rsidR="005F5B62" w:rsidRPr="00337E58" w:rsidRDefault="005F5B62" w:rsidP="005F5B62"/>
    <w:p w14:paraId="7B910F07" w14:textId="2ACB51E3" w:rsidR="005F5B62" w:rsidRPr="00337E58" w:rsidRDefault="005F5B62" w:rsidP="00B4147A">
      <w:pPr>
        <w:pStyle w:val="BodyTextIndent"/>
        <w:tabs>
          <w:tab w:val="left" w:pos="720"/>
        </w:tabs>
        <w:spacing w:after="0"/>
        <w:ind w:left="720"/>
      </w:pPr>
      <w:r w:rsidRPr="00337E58">
        <w:t xml:space="preserve">The application for </w:t>
      </w:r>
      <w:r w:rsidR="00251E40" w:rsidRPr="00337E58">
        <w:rPr>
          <w:bCs/>
          <w:iCs/>
        </w:rPr>
        <w:t>NSA</w:t>
      </w:r>
      <w:r w:rsidR="002F1D70" w:rsidRPr="00337E58">
        <w:rPr>
          <w:bCs/>
          <w:iCs/>
        </w:rPr>
        <w:t>P</w:t>
      </w:r>
      <w:r w:rsidR="00251E40" w:rsidRPr="00337E58">
        <w:rPr>
          <w:bCs/>
          <w:iCs/>
        </w:rPr>
        <w:t>H</w:t>
      </w:r>
      <w:r w:rsidRPr="00337E58">
        <w:rPr>
          <w:b/>
        </w:rPr>
        <w:t xml:space="preserve"> </w:t>
      </w:r>
      <w:r w:rsidRPr="00337E58">
        <w:t xml:space="preserve">does not include the licensing of increased emissions or the installation of new or modified equipment. Therefore, the license </w:t>
      </w:r>
      <w:proofErr w:type="gramStart"/>
      <w:r w:rsidRPr="00337E58">
        <w:t>is considered to be</w:t>
      </w:r>
      <w:proofErr w:type="gramEnd"/>
      <w:r w:rsidRPr="00337E58">
        <w:t xml:space="preserve"> a renewal of currently licensed emission units only and has been processed through </w:t>
      </w:r>
      <w:r w:rsidRPr="00337E58">
        <w:rPr>
          <w:i/>
        </w:rPr>
        <w:t>Major and Minor Source Air Emission License Regulations</w:t>
      </w:r>
      <w:r w:rsidRPr="00337E58">
        <w:t xml:space="preserve">, 06-096 Code of Maine Rules (C.M.R.) ch. 115. </w:t>
      </w:r>
    </w:p>
    <w:p w14:paraId="5DAEF820" w14:textId="77777777" w:rsidR="005F5B62" w:rsidRPr="00337E58" w:rsidRDefault="005F5B62" w:rsidP="005F5B62"/>
    <w:p w14:paraId="54475B57" w14:textId="2025C610" w:rsidR="005F5B62" w:rsidRPr="00337E58" w:rsidRDefault="005F5B62" w:rsidP="004B6C43">
      <w:pPr>
        <w:pStyle w:val="Heading3"/>
      </w:pPr>
      <w:r w:rsidRPr="00337E58">
        <w:t>Facility Classification</w:t>
      </w:r>
    </w:p>
    <w:p w14:paraId="1195916E" w14:textId="77777777" w:rsidR="005F5B62" w:rsidRPr="00337E58" w:rsidRDefault="005F5B62" w:rsidP="004B6C43">
      <w:pPr>
        <w:pStyle w:val="BodyTextIndent"/>
        <w:spacing w:after="0"/>
      </w:pPr>
    </w:p>
    <w:p w14:paraId="32810E1F" w14:textId="67A0FA93" w:rsidR="005F5B62" w:rsidRPr="00337E58" w:rsidRDefault="005F5B62" w:rsidP="00F558C8">
      <w:pPr>
        <w:pStyle w:val="BodyTextIndent"/>
        <w:spacing w:after="0"/>
        <w:ind w:left="720"/>
      </w:pPr>
      <w:r w:rsidRPr="00337E58">
        <w:t>With the annual operating hours restriction on the emergency generator</w:t>
      </w:r>
      <w:r w:rsidR="004B6C43" w:rsidRPr="00337E58">
        <w:t>s GEN #102-01 and GEN #102-02</w:t>
      </w:r>
      <w:r w:rsidRPr="00337E58">
        <w:t>, the facility is licensed as follows:</w:t>
      </w:r>
    </w:p>
    <w:p w14:paraId="1C077F60" w14:textId="3155150F" w:rsidR="005F5B62" w:rsidRPr="00337E58" w:rsidRDefault="005F5B62" w:rsidP="00F558C8">
      <w:pPr>
        <w:numPr>
          <w:ilvl w:val="0"/>
          <w:numId w:val="9"/>
        </w:numPr>
        <w:ind w:left="1440"/>
      </w:pPr>
      <w:r w:rsidRPr="00337E58">
        <w:t xml:space="preserve">As a synthetic minor source of air emissions for criteria pollutants, because </w:t>
      </w:r>
      <w:r w:rsidR="004B6C43" w:rsidRPr="00337E58">
        <w:t>NSAPH</w:t>
      </w:r>
      <w:r w:rsidRPr="00337E58">
        <w:t xml:space="preserve"> is subject to license restrictions that keep facility emissions below major source thresholds fo</w:t>
      </w:r>
      <w:r w:rsidR="004B6C43" w:rsidRPr="00337E58">
        <w:t>r NO</w:t>
      </w:r>
      <w:r w:rsidR="004B6C43" w:rsidRPr="00337E58">
        <w:rPr>
          <w:vertAlign w:val="subscript"/>
        </w:rPr>
        <w:t>x</w:t>
      </w:r>
      <w:r w:rsidRPr="00337E58">
        <w:t>; and</w:t>
      </w:r>
    </w:p>
    <w:p w14:paraId="66AE3D9F" w14:textId="77777777" w:rsidR="005F5B62" w:rsidRPr="00337E58" w:rsidRDefault="005F5B62" w:rsidP="00F558C8">
      <w:pPr>
        <w:numPr>
          <w:ilvl w:val="0"/>
          <w:numId w:val="9"/>
        </w:numPr>
        <w:ind w:left="1440"/>
      </w:pPr>
      <w:r w:rsidRPr="00337E58">
        <w:t>As an area source of hazardous air pollutants (HAP), because the licensed emissions are below the major source thresholds for HAP.</w:t>
      </w:r>
    </w:p>
    <w:p w14:paraId="44F9F081" w14:textId="77777777" w:rsidR="00F558C8" w:rsidRPr="00337E58" w:rsidRDefault="00F558C8" w:rsidP="00F558C8"/>
    <w:p w14:paraId="438C4CB8" w14:textId="77777777" w:rsidR="00F558C8" w:rsidRPr="00337E58" w:rsidRDefault="00F558C8" w:rsidP="00F558C8">
      <w:pPr>
        <w:pStyle w:val="Heading2"/>
      </w:pPr>
      <w:r w:rsidRPr="00337E58">
        <w:t>BEST PRACTICAL TREATMENT (BPT)</w:t>
      </w:r>
    </w:p>
    <w:p w14:paraId="78681019" w14:textId="77777777" w:rsidR="00F558C8" w:rsidRPr="00337E58" w:rsidRDefault="00F558C8" w:rsidP="00F558C8"/>
    <w:p w14:paraId="4B3E8671" w14:textId="77777777" w:rsidR="00F558C8" w:rsidRPr="00337E58" w:rsidRDefault="00F558C8" w:rsidP="00B4147A">
      <w:pPr>
        <w:pStyle w:val="Heading3"/>
        <w:numPr>
          <w:ilvl w:val="0"/>
          <w:numId w:val="11"/>
        </w:numPr>
      </w:pPr>
      <w:r w:rsidRPr="00337E58">
        <w:t>Introduction</w:t>
      </w:r>
    </w:p>
    <w:p w14:paraId="38B88487" w14:textId="77777777" w:rsidR="00F558C8" w:rsidRPr="00337E58" w:rsidRDefault="00F558C8" w:rsidP="00B4147A">
      <w:pPr>
        <w:pStyle w:val="BodyTextIndent"/>
        <w:spacing w:after="0"/>
        <w:ind w:left="720"/>
      </w:pPr>
    </w:p>
    <w:p w14:paraId="19C102F7" w14:textId="77777777" w:rsidR="00F558C8" w:rsidRPr="00337E58" w:rsidRDefault="00F558C8" w:rsidP="00B4147A">
      <w:pPr>
        <w:pStyle w:val="BodyTextIndent"/>
        <w:spacing w:after="0"/>
        <w:ind w:left="720"/>
      </w:pPr>
      <w:proofErr w:type="gramStart"/>
      <w:r w:rsidRPr="00337E58">
        <w:t>In order to</w:t>
      </w:r>
      <w:proofErr w:type="gramEnd"/>
      <w:r w:rsidRPr="00337E58">
        <w:t xml:space="preserve"> receive a license, the applicant must control emissions from each unit to a level considered by the Department to represent Best Practical Treatment (BPT), as defined in </w:t>
      </w:r>
      <w:r w:rsidRPr="00337E58">
        <w:rPr>
          <w:i/>
        </w:rPr>
        <w:t>Definitions Regulation</w:t>
      </w:r>
      <w:r w:rsidRPr="00337E58">
        <w:t xml:space="preserve">, 06-096 C.M.R. ch. 100. Separate control requirement categories exist for new and existing equipment. </w:t>
      </w:r>
    </w:p>
    <w:p w14:paraId="5BAEDCB7" w14:textId="77777777" w:rsidR="00F558C8" w:rsidRPr="00337E58" w:rsidRDefault="00F558C8" w:rsidP="00251E40">
      <w:pPr>
        <w:pStyle w:val="BodyTextIndent"/>
        <w:spacing w:after="0"/>
        <w:ind w:left="0"/>
      </w:pPr>
    </w:p>
    <w:p w14:paraId="3086CF67" w14:textId="77777777" w:rsidR="00F558C8" w:rsidRPr="00337E58" w:rsidRDefault="00F558C8" w:rsidP="00B4147A">
      <w:pPr>
        <w:pStyle w:val="BodyTextIndent"/>
        <w:spacing w:after="0"/>
        <w:ind w:left="720"/>
      </w:pPr>
      <w:r w:rsidRPr="00337E58">
        <w:t>BPT for existing emissions equipment means that method which controls or reduces emissions to the lowest possible level considering:</w:t>
      </w:r>
    </w:p>
    <w:p w14:paraId="3ECF7F8E" w14:textId="77777777" w:rsidR="00F558C8" w:rsidRPr="00337E58" w:rsidRDefault="00F558C8" w:rsidP="00B4147A">
      <w:pPr>
        <w:pStyle w:val="BodyTextIndent"/>
        <w:numPr>
          <w:ilvl w:val="0"/>
          <w:numId w:val="10"/>
        </w:numPr>
        <w:spacing w:after="0"/>
        <w:ind w:hanging="360"/>
      </w:pPr>
      <w:r w:rsidRPr="00337E58">
        <w:t xml:space="preserve">the existing state of </w:t>
      </w:r>
      <w:proofErr w:type="gramStart"/>
      <w:r w:rsidRPr="00337E58">
        <w:t>technology;</w:t>
      </w:r>
      <w:proofErr w:type="gramEnd"/>
    </w:p>
    <w:p w14:paraId="395D3BF5" w14:textId="77777777" w:rsidR="00F558C8" w:rsidRPr="00337E58" w:rsidRDefault="00F558C8" w:rsidP="00B4147A">
      <w:pPr>
        <w:pStyle w:val="BodyTextIndent"/>
        <w:numPr>
          <w:ilvl w:val="0"/>
          <w:numId w:val="10"/>
        </w:numPr>
        <w:spacing w:after="0"/>
        <w:ind w:hanging="360"/>
      </w:pPr>
      <w:r w:rsidRPr="00337E58">
        <w:t>the effectiveness of available alternatives for reducing emissions from the source being considered; and</w:t>
      </w:r>
    </w:p>
    <w:p w14:paraId="42B87317" w14:textId="059DB075" w:rsidR="00C5754E" w:rsidRPr="00337E58" w:rsidRDefault="00F558C8" w:rsidP="00337E58">
      <w:pPr>
        <w:pStyle w:val="BodyTextIndent"/>
        <w:numPr>
          <w:ilvl w:val="0"/>
          <w:numId w:val="10"/>
        </w:numPr>
        <w:spacing w:after="0"/>
        <w:ind w:hanging="360"/>
      </w:pPr>
      <w:r w:rsidRPr="00337E58">
        <w:t>the economic feasibility for the type of establishment involved.</w:t>
      </w:r>
    </w:p>
    <w:p w14:paraId="53C3C3C0" w14:textId="77777777" w:rsidR="00337E58" w:rsidRPr="00337E58" w:rsidRDefault="00337E58">
      <w:pPr>
        <w:jc w:val="left"/>
        <w:rPr>
          <w:u w:val="single"/>
        </w:rPr>
      </w:pPr>
      <w:r w:rsidRPr="00337E58">
        <w:br w:type="page"/>
      </w:r>
    </w:p>
    <w:p w14:paraId="153CCF8F" w14:textId="2D98A376" w:rsidR="006E35A9" w:rsidRPr="00337E58" w:rsidRDefault="00735725" w:rsidP="002F772A">
      <w:pPr>
        <w:pStyle w:val="Heading3"/>
      </w:pPr>
      <w:r w:rsidRPr="00337E58">
        <w:lastRenderedPageBreak/>
        <w:t>GEN #102-01 and GEN #102-02</w:t>
      </w:r>
    </w:p>
    <w:p w14:paraId="58F3632F" w14:textId="77777777" w:rsidR="006E35A9" w:rsidRPr="00337E58" w:rsidRDefault="006E35A9" w:rsidP="006E35A9">
      <w:pPr>
        <w:jc w:val="left"/>
      </w:pPr>
    </w:p>
    <w:p w14:paraId="4CB8CBEB" w14:textId="1D342BA6" w:rsidR="002F772A" w:rsidRPr="00337E58" w:rsidRDefault="00A7267E" w:rsidP="002F772A">
      <w:pPr>
        <w:ind w:left="720"/>
        <w:rPr>
          <w:b/>
          <w:bCs/>
          <w:i/>
          <w:iCs/>
        </w:rPr>
      </w:pPr>
      <w:r w:rsidRPr="00337E58">
        <w:t>NSAPH</w:t>
      </w:r>
      <w:r w:rsidR="002F772A" w:rsidRPr="00337E58">
        <w:rPr>
          <w:b/>
          <w:bCs/>
          <w:i/>
          <w:iCs/>
        </w:rPr>
        <w:t xml:space="preserve"> </w:t>
      </w:r>
      <w:r w:rsidR="002F772A" w:rsidRPr="00337E58">
        <w:t>operates</w:t>
      </w:r>
      <w:r w:rsidR="002F772A" w:rsidRPr="00337E58">
        <w:rPr>
          <w:b/>
          <w:bCs/>
          <w:i/>
          <w:iCs/>
        </w:rPr>
        <w:t xml:space="preserve"> </w:t>
      </w:r>
      <w:r w:rsidRPr="00337E58">
        <w:t>two</w:t>
      </w:r>
      <w:r w:rsidR="002F772A" w:rsidRPr="00337E58">
        <w:t xml:space="preserve"> emergency generators</w:t>
      </w:r>
      <w:r w:rsidRPr="00337E58">
        <w:t>, GEN #102-01 and GEN #102-02</w:t>
      </w:r>
      <w:r w:rsidR="002F772A" w:rsidRPr="00337E58">
        <w:t xml:space="preserve">. The emergency generators are generator sets with each </w:t>
      </w:r>
      <w:proofErr w:type="gramStart"/>
      <w:r w:rsidR="002F772A" w:rsidRPr="00337E58">
        <w:t>gen</w:t>
      </w:r>
      <w:proofErr w:type="gramEnd"/>
      <w:r w:rsidR="002F772A" w:rsidRPr="00337E58">
        <w:t xml:space="preserve"> set consisting of an engine and an electrical generator. The emergency generators have engines rated at </w:t>
      </w:r>
      <w:r w:rsidRPr="00337E58">
        <w:t>2.93</w:t>
      </w:r>
      <w:r w:rsidR="002F772A" w:rsidRPr="00337E58">
        <w:t xml:space="preserve"> MMBtu/hr </w:t>
      </w:r>
      <w:r w:rsidRPr="00337E58">
        <w:t>each, and both fire</w:t>
      </w:r>
      <w:r w:rsidR="002F772A" w:rsidRPr="00337E58">
        <w:t xml:space="preserve"> distillate fuel. The emergency generators were </w:t>
      </w:r>
      <w:r w:rsidRPr="00337E58">
        <w:t xml:space="preserve">both </w:t>
      </w:r>
      <w:r w:rsidR="002F772A" w:rsidRPr="00337E58">
        <w:t>manufactured in</w:t>
      </w:r>
      <w:r w:rsidRPr="00337E58">
        <w:t xml:space="preserve"> 2016.</w:t>
      </w:r>
    </w:p>
    <w:p w14:paraId="7FC7B551" w14:textId="77777777" w:rsidR="002F772A" w:rsidRPr="00337E58" w:rsidRDefault="002F772A" w:rsidP="006E35A9">
      <w:pPr>
        <w:jc w:val="left"/>
      </w:pPr>
    </w:p>
    <w:p w14:paraId="2B83CF33" w14:textId="28BEE643" w:rsidR="005D4F08" w:rsidRPr="00337E58" w:rsidRDefault="005D4F08" w:rsidP="005D4F08">
      <w:pPr>
        <w:pStyle w:val="Heading4"/>
        <w:numPr>
          <w:ilvl w:val="0"/>
          <w:numId w:val="50"/>
        </w:numPr>
      </w:pPr>
      <w:r w:rsidRPr="00337E58">
        <w:t>BPT Findings</w:t>
      </w:r>
    </w:p>
    <w:p w14:paraId="7AB0AB38" w14:textId="77777777" w:rsidR="002F772A" w:rsidRPr="00337E58" w:rsidRDefault="002F772A" w:rsidP="006E35A9">
      <w:pPr>
        <w:jc w:val="left"/>
      </w:pPr>
    </w:p>
    <w:p w14:paraId="6D2CF254" w14:textId="0A277CD9" w:rsidR="005D4F08" w:rsidRPr="00337E58" w:rsidRDefault="005D4F08" w:rsidP="00A7267E">
      <w:pPr>
        <w:tabs>
          <w:tab w:val="left" w:pos="1080"/>
        </w:tabs>
        <w:ind w:left="1080"/>
      </w:pPr>
      <w:r w:rsidRPr="00337E58">
        <w:t xml:space="preserve">The </w:t>
      </w:r>
      <w:r w:rsidRPr="00337E58">
        <w:rPr>
          <w:bCs/>
          <w:iCs/>
        </w:rPr>
        <w:t>BPT</w:t>
      </w:r>
      <w:r w:rsidRPr="00337E58">
        <w:t xml:space="preserve"> emission limits for </w:t>
      </w:r>
      <w:r w:rsidR="00A7267E" w:rsidRPr="00337E58">
        <w:t>GEN #102-01 and G</w:t>
      </w:r>
      <w:r w:rsidR="00735725" w:rsidRPr="00337E58">
        <w:t>EN</w:t>
      </w:r>
      <w:r w:rsidR="00A7267E" w:rsidRPr="00337E58">
        <w:t xml:space="preserve"> #102-02</w:t>
      </w:r>
      <w:r w:rsidRPr="00337E58">
        <w:rPr>
          <w:b/>
          <w:i/>
        </w:rPr>
        <w:t xml:space="preserve"> </w:t>
      </w:r>
      <w:r w:rsidRPr="00337E58">
        <w:t>are based on the following:</w:t>
      </w:r>
      <w:r w:rsidRPr="00337E58">
        <w:rPr>
          <w:i/>
          <w:iCs/>
          <w:color w:val="00B050"/>
        </w:rPr>
        <w:tab/>
      </w:r>
    </w:p>
    <w:p w14:paraId="70598270" w14:textId="77777777" w:rsidR="005D4F08" w:rsidRPr="00337E58" w:rsidRDefault="005D4F08" w:rsidP="005D4F08">
      <w:pPr>
        <w:tabs>
          <w:tab w:val="left" w:pos="720"/>
          <w:tab w:val="left" w:pos="1080"/>
        </w:tabs>
        <w:ind w:left="1080"/>
      </w:pPr>
    </w:p>
    <w:p w14:paraId="34EE01B1" w14:textId="6F93F992" w:rsidR="005D4F08" w:rsidRPr="00337E58" w:rsidRDefault="005D4F08" w:rsidP="005D4F08">
      <w:pPr>
        <w:tabs>
          <w:tab w:val="left" w:pos="720"/>
          <w:tab w:val="left" w:pos="2970"/>
          <w:tab w:val="left" w:pos="3240"/>
        </w:tabs>
        <w:ind w:left="3240" w:hanging="2160"/>
      </w:pPr>
      <w:r w:rsidRPr="00337E58">
        <w:t>PM/PM</w:t>
      </w:r>
      <w:r w:rsidRPr="00337E58">
        <w:rPr>
          <w:vertAlign w:val="subscript"/>
        </w:rPr>
        <w:t>10</w:t>
      </w:r>
      <w:r w:rsidRPr="00337E58">
        <w:t>/PM</w:t>
      </w:r>
      <w:r w:rsidRPr="00337E58">
        <w:rPr>
          <w:vertAlign w:val="subscript"/>
        </w:rPr>
        <w:t>2.5</w:t>
      </w:r>
      <w:r w:rsidRPr="00337E58">
        <w:tab/>
        <w:t>–</w:t>
      </w:r>
      <w:r w:rsidRPr="00337E58">
        <w:tab/>
        <w:t xml:space="preserve">0.12 lb/MMBtu based on 06-096 C.M.R. ch. </w:t>
      </w:r>
      <w:r w:rsidR="00A7267E" w:rsidRPr="00337E58">
        <w:t>115, BPT</w:t>
      </w:r>
    </w:p>
    <w:p w14:paraId="1C82D0B4" w14:textId="77777777" w:rsidR="005D4F08" w:rsidRPr="00337E58" w:rsidRDefault="005D4F08" w:rsidP="005D4F08">
      <w:pPr>
        <w:tabs>
          <w:tab w:val="left" w:pos="720"/>
          <w:tab w:val="left" w:pos="2970"/>
          <w:tab w:val="left" w:pos="3240"/>
        </w:tabs>
        <w:ind w:left="3240" w:hanging="2160"/>
      </w:pPr>
      <w:r w:rsidRPr="00337E58">
        <w:t>SO</w:t>
      </w:r>
      <w:r w:rsidRPr="00337E58">
        <w:rPr>
          <w:vertAlign w:val="subscript"/>
        </w:rPr>
        <w:t>2</w:t>
      </w:r>
      <w:r w:rsidRPr="00337E58">
        <w:tab/>
        <w:t>–</w:t>
      </w:r>
      <w:r w:rsidRPr="00337E58">
        <w:tab/>
        <w:t>Combustion of distillate fuel with a maximum sulfur content not to exceed 15 ppm (0.0015% sulfur by weight)</w:t>
      </w:r>
    </w:p>
    <w:p w14:paraId="618D4123" w14:textId="76ABCDC6" w:rsidR="005D4F08" w:rsidRPr="00337E58" w:rsidRDefault="005D4F08" w:rsidP="005D4F08">
      <w:pPr>
        <w:tabs>
          <w:tab w:val="left" w:pos="720"/>
          <w:tab w:val="left" w:pos="2970"/>
          <w:tab w:val="left" w:pos="3240"/>
        </w:tabs>
        <w:ind w:left="3240" w:hanging="2160"/>
      </w:pPr>
      <w:r w:rsidRPr="00337E58">
        <w:t>NO</w:t>
      </w:r>
      <w:r w:rsidRPr="00337E58">
        <w:rPr>
          <w:vertAlign w:val="subscript"/>
        </w:rPr>
        <w:t>x</w:t>
      </w:r>
      <w:r w:rsidRPr="00337E58">
        <w:tab/>
        <w:t>–</w:t>
      </w:r>
      <w:r w:rsidRPr="00337E58">
        <w:tab/>
      </w:r>
      <w:r w:rsidR="00735725" w:rsidRPr="00337E58">
        <w:t>4.41</w:t>
      </w:r>
      <w:r w:rsidRPr="00337E58">
        <w:t xml:space="preserve"> lb/MMBtu from AP-42 Table 3.3-1 dated 4/25</w:t>
      </w:r>
    </w:p>
    <w:p w14:paraId="0308BAF4" w14:textId="1E32D860" w:rsidR="005D4F08" w:rsidRPr="00337E58" w:rsidRDefault="005D4F08" w:rsidP="005D4F08">
      <w:pPr>
        <w:tabs>
          <w:tab w:val="left" w:pos="720"/>
          <w:tab w:val="left" w:pos="2970"/>
          <w:tab w:val="left" w:pos="3240"/>
        </w:tabs>
        <w:ind w:left="3240" w:hanging="2160"/>
      </w:pPr>
      <w:r w:rsidRPr="00337E58">
        <w:t>CO</w:t>
      </w:r>
      <w:r w:rsidRPr="00337E58">
        <w:tab/>
        <w:t>–</w:t>
      </w:r>
      <w:r w:rsidRPr="00337E58">
        <w:tab/>
        <w:t>0.</w:t>
      </w:r>
      <w:r w:rsidR="00735725" w:rsidRPr="00337E58">
        <w:t>9</w:t>
      </w:r>
      <w:r w:rsidRPr="00337E58">
        <w:t>5 lb/MMBtu from AP-42 Table 3.3-1 dated 4/25</w:t>
      </w:r>
    </w:p>
    <w:p w14:paraId="00F8D0F3" w14:textId="2D1744E3" w:rsidR="005D4F08" w:rsidRPr="00337E58" w:rsidRDefault="005D4F08" w:rsidP="005D4F08">
      <w:pPr>
        <w:tabs>
          <w:tab w:val="left" w:pos="720"/>
          <w:tab w:val="left" w:pos="2970"/>
          <w:tab w:val="left" w:pos="3240"/>
        </w:tabs>
        <w:ind w:left="3240" w:hanging="2160"/>
      </w:pPr>
      <w:r w:rsidRPr="00337E58">
        <w:t>VOC</w:t>
      </w:r>
      <w:r w:rsidRPr="00337E58">
        <w:tab/>
        <w:t>–</w:t>
      </w:r>
      <w:r w:rsidRPr="00337E58">
        <w:tab/>
        <w:t>0.</w:t>
      </w:r>
      <w:r w:rsidR="00735725" w:rsidRPr="00337E58">
        <w:t>36</w:t>
      </w:r>
      <w:r w:rsidRPr="00337E58">
        <w:t xml:space="preserve"> lb/MMBtu from AP-42 Table 3.3-1 dated 4/25</w:t>
      </w:r>
    </w:p>
    <w:p w14:paraId="6474B77F" w14:textId="317919DE" w:rsidR="005D4F08" w:rsidRPr="00337E58" w:rsidRDefault="005D4F08" w:rsidP="005D4F08">
      <w:pPr>
        <w:tabs>
          <w:tab w:val="left" w:pos="720"/>
          <w:tab w:val="left" w:pos="2970"/>
          <w:tab w:val="left" w:pos="3240"/>
        </w:tabs>
        <w:ind w:left="3240" w:hanging="2160"/>
      </w:pPr>
      <w:r w:rsidRPr="00337E58">
        <w:t>Visible Emissions</w:t>
      </w:r>
      <w:r w:rsidRPr="00337E58">
        <w:tab/>
        <w:t>–</w:t>
      </w:r>
      <w:r w:rsidRPr="00337E58">
        <w:tab/>
        <w:t>06-096 C.M.R. ch. 10</w:t>
      </w:r>
      <w:r w:rsidR="00735725" w:rsidRPr="00337E58">
        <w:t>1</w:t>
      </w:r>
      <w:r w:rsidRPr="00337E58">
        <w:tab/>
      </w:r>
    </w:p>
    <w:p w14:paraId="6CB05CF8" w14:textId="77777777" w:rsidR="005D4F08" w:rsidRPr="00337E58" w:rsidRDefault="005D4F08" w:rsidP="005D4F08">
      <w:pPr>
        <w:tabs>
          <w:tab w:val="left" w:pos="720"/>
          <w:tab w:val="left" w:pos="1080"/>
        </w:tabs>
        <w:ind w:left="1080"/>
      </w:pPr>
    </w:p>
    <w:p w14:paraId="44EB7B06" w14:textId="65D0B7F1" w:rsidR="005D4F08" w:rsidRPr="00337E58" w:rsidRDefault="005D4F08" w:rsidP="005D4F08">
      <w:pPr>
        <w:tabs>
          <w:tab w:val="left" w:pos="720"/>
          <w:tab w:val="left" w:pos="1080"/>
        </w:tabs>
        <w:ind w:left="1080"/>
      </w:pPr>
      <w:r w:rsidRPr="00337E58">
        <w:t xml:space="preserve">The </w:t>
      </w:r>
      <w:r w:rsidRPr="00337E58">
        <w:rPr>
          <w:bCs/>
          <w:iCs/>
        </w:rPr>
        <w:t>BPT</w:t>
      </w:r>
      <w:r w:rsidRPr="00337E58">
        <w:t xml:space="preserve"> emission limits for </w:t>
      </w:r>
      <w:r w:rsidR="00735725" w:rsidRPr="00337E58">
        <w:t>GEN #102-01 and GEN #102-02</w:t>
      </w:r>
      <w:r w:rsidR="00735725" w:rsidRPr="00337E58">
        <w:rPr>
          <w:b/>
          <w:i/>
        </w:rPr>
        <w:t xml:space="preserve"> </w:t>
      </w:r>
      <w:r w:rsidRPr="00337E58">
        <w:t>are the following:</w:t>
      </w:r>
    </w:p>
    <w:p w14:paraId="7EA5FD57" w14:textId="03C891EC" w:rsidR="005D4F08" w:rsidRPr="00337E58" w:rsidRDefault="005D4F08" w:rsidP="00735725">
      <w:pPr>
        <w:tabs>
          <w:tab w:val="left" w:pos="720"/>
        </w:tabs>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5D4F08" w:rsidRPr="00337E58" w14:paraId="1FFF3D6E" w14:textId="77777777" w:rsidTr="005D4F08">
        <w:trPr>
          <w:cantSplit/>
          <w:tblHeader/>
        </w:trPr>
        <w:tc>
          <w:tcPr>
            <w:tcW w:w="1947" w:type="dxa"/>
            <w:shd w:val="clear" w:color="auto" w:fill="D9D9D9" w:themeFill="background1" w:themeFillShade="D9"/>
            <w:vAlign w:val="bottom"/>
          </w:tcPr>
          <w:p w14:paraId="40F4F6A1" w14:textId="77777777" w:rsidR="005D4F08" w:rsidRPr="00337E58" w:rsidRDefault="005D4F08" w:rsidP="00444EDE">
            <w:pPr>
              <w:pStyle w:val="Heading3"/>
              <w:numPr>
                <w:ilvl w:val="0"/>
                <w:numId w:val="0"/>
              </w:numPr>
              <w:jc w:val="center"/>
              <w:rPr>
                <w:b/>
                <w:u w:val="none"/>
              </w:rPr>
            </w:pPr>
            <w:r w:rsidRPr="00337E58">
              <w:rPr>
                <w:b/>
                <w:u w:val="none"/>
              </w:rPr>
              <w:t>Unit</w:t>
            </w:r>
          </w:p>
        </w:tc>
        <w:tc>
          <w:tcPr>
            <w:tcW w:w="892" w:type="dxa"/>
            <w:shd w:val="clear" w:color="auto" w:fill="D9D9D9" w:themeFill="background1" w:themeFillShade="D9"/>
            <w:vAlign w:val="bottom"/>
          </w:tcPr>
          <w:p w14:paraId="10A65A6E"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PM</w:t>
            </w:r>
          </w:p>
          <w:p w14:paraId="58E7DC91"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52057FC4"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PM</w:t>
            </w:r>
            <w:r w:rsidRPr="00337E58">
              <w:rPr>
                <w:b/>
                <w:vertAlign w:val="subscript"/>
              </w:rPr>
              <w:t>10</w:t>
            </w:r>
          </w:p>
          <w:p w14:paraId="38035AEB"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73C3C59B"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PM</w:t>
            </w:r>
            <w:r w:rsidRPr="00337E58">
              <w:rPr>
                <w:b/>
                <w:vertAlign w:val="subscript"/>
              </w:rPr>
              <w:t>2.5</w:t>
            </w:r>
          </w:p>
          <w:p w14:paraId="3880BC27"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3DBEECEC"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SO</w:t>
            </w:r>
            <w:r w:rsidRPr="00337E58">
              <w:rPr>
                <w:b/>
                <w:vertAlign w:val="subscript"/>
              </w:rPr>
              <w:t>2</w:t>
            </w:r>
          </w:p>
          <w:p w14:paraId="609401E2"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29192760"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NO</w:t>
            </w:r>
            <w:r w:rsidRPr="00337E58">
              <w:rPr>
                <w:b/>
                <w:vertAlign w:val="subscript"/>
              </w:rPr>
              <w:t>x</w:t>
            </w:r>
          </w:p>
          <w:p w14:paraId="45085369"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6B74AC33"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CO</w:t>
            </w:r>
          </w:p>
          <w:p w14:paraId="75FEFE2F"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892" w:type="dxa"/>
            <w:shd w:val="clear" w:color="auto" w:fill="D9D9D9" w:themeFill="background1" w:themeFillShade="D9"/>
            <w:vAlign w:val="bottom"/>
          </w:tcPr>
          <w:p w14:paraId="526A5360"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VOC</w:t>
            </w:r>
          </w:p>
          <w:p w14:paraId="540D5EEB" w14:textId="77777777" w:rsidR="005D4F08" w:rsidRPr="00337E58" w:rsidRDefault="005D4F08" w:rsidP="00444EDE">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r>
      <w:tr w:rsidR="005D4F08" w:rsidRPr="00337E58" w14:paraId="51DB543D" w14:textId="77777777" w:rsidTr="005D4F08">
        <w:trPr>
          <w:cantSplit/>
          <w:trHeight w:val="72"/>
        </w:trPr>
        <w:tc>
          <w:tcPr>
            <w:tcW w:w="1947" w:type="dxa"/>
            <w:vAlign w:val="center"/>
          </w:tcPr>
          <w:p w14:paraId="1DE4798F" w14:textId="19741F5F" w:rsidR="005D4F08" w:rsidRPr="00337E58" w:rsidRDefault="00735725" w:rsidP="00444EDE">
            <w:r w:rsidRPr="00337E58">
              <w:t>GEN #102-01</w:t>
            </w:r>
          </w:p>
        </w:tc>
        <w:tc>
          <w:tcPr>
            <w:tcW w:w="892" w:type="dxa"/>
            <w:vAlign w:val="center"/>
          </w:tcPr>
          <w:p w14:paraId="61181932" w14:textId="3A3DA3B9"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748B807B" w14:textId="523E3D83"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26CCEF6A" w14:textId="2386855D"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1F096B62" w14:textId="5A8E5FF0"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w:t>
            </w:r>
          </w:p>
        </w:tc>
        <w:tc>
          <w:tcPr>
            <w:tcW w:w="892" w:type="dxa"/>
            <w:vAlign w:val="center"/>
          </w:tcPr>
          <w:p w14:paraId="47695915" w14:textId="625227D5"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12.92</w:t>
            </w:r>
          </w:p>
        </w:tc>
        <w:tc>
          <w:tcPr>
            <w:tcW w:w="892" w:type="dxa"/>
            <w:vAlign w:val="center"/>
          </w:tcPr>
          <w:p w14:paraId="2F8B433C" w14:textId="72C9186F"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2.78</w:t>
            </w:r>
          </w:p>
        </w:tc>
        <w:tc>
          <w:tcPr>
            <w:tcW w:w="892" w:type="dxa"/>
            <w:vAlign w:val="center"/>
          </w:tcPr>
          <w:p w14:paraId="0C9F2F04" w14:textId="634ECE65" w:rsidR="005D4F08" w:rsidRPr="00337E58" w:rsidRDefault="00C17C5D" w:rsidP="00444EDE">
            <w:pPr>
              <w:tabs>
                <w:tab w:val="left" w:pos="360"/>
                <w:tab w:val="left" w:pos="720"/>
                <w:tab w:val="left" w:pos="1080"/>
                <w:tab w:val="left" w:pos="1440"/>
                <w:tab w:val="left" w:pos="1800"/>
                <w:tab w:val="left" w:pos="2160"/>
                <w:tab w:val="left" w:pos="2520"/>
                <w:tab w:val="left" w:pos="2880"/>
              </w:tabs>
              <w:jc w:val="center"/>
            </w:pPr>
            <w:r w:rsidRPr="00337E58">
              <w:t>1.05</w:t>
            </w:r>
          </w:p>
        </w:tc>
      </w:tr>
      <w:tr w:rsidR="00C17C5D" w:rsidRPr="00337E58" w14:paraId="23938221" w14:textId="77777777" w:rsidTr="005D4F08">
        <w:trPr>
          <w:cantSplit/>
          <w:trHeight w:val="72"/>
        </w:trPr>
        <w:tc>
          <w:tcPr>
            <w:tcW w:w="1947" w:type="dxa"/>
            <w:vAlign w:val="center"/>
          </w:tcPr>
          <w:p w14:paraId="663B934E" w14:textId="28197B4D" w:rsidR="00C17C5D" w:rsidRPr="00337E58" w:rsidRDefault="00C17C5D" w:rsidP="00C17C5D">
            <w:r w:rsidRPr="00337E58">
              <w:t>GEN #102-02</w:t>
            </w:r>
          </w:p>
        </w:tc>
        <w:tc>
          <w:tcPr>
            <w:tcW w:w="892" w:type="dxa"/>
            <w:vAlign w:val="center"/>
          </w:tcPr>
          <w:p w14:paraId="168F0DCD" w14:textId="7FE5DFD4"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09112B9F" w14:textId="30C8C140"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72C32470" w14:textId="20AA8A32"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0.35</w:t>
            </w:r>
          </w:p>
        </w:tc>
        <w:tc>
          <w:tcPr>
            <w:tcW w:w="892" w:type="dxa"/>
            <w:vAlign w:val="center"/>
          </w:tcPr>
          <w:p w14:paraId="4359C6F0" w14:textId="498460C1"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w:t>
            </w:r>
          </w:p>
        </w:tc>
        <w:tc>
          <w:tcPr>
            <w:tcW w:w="892" w:type="dxa"/>
            <w:vAlign w:val="center"/>
          </w:tcPr>
          <w:p w14:paraId="6631AE8A" w14:textId="7680959D"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12.92</w:t>
            </w:r>
          </w:p>
        </w:tc>
        <w:tc>
          <w:tcPr>
            <w:tcW w:w="892" w:type="dxa"/>
            <w:vAlign w:val="center"/>
          </w:tcPr>
          <w:p w14:paraId="1B01DDAB" w14:textId="3DF8AF82"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2.78</w:t>
            </w:r>
          </w:p>
        </w:tc>
        <w:tc>
          <w:tcPr>
            <w:tcW w:w="892" w:type="dxa"/>
            <w:vAlign w:val="center"/>
          </w:tcPr>
          <w:p w14:paraId="31A1B46D" w14:textId="0871D14B" w:rsidR="00C17C5D" w:rsidRPr="00337E58" w:rsidRDefault="00C17C5D" w:rsidP="00C17C5D">
            <w:pPr>
              <w:tabs>
                <w:tab w:val="left" w:pos="360"/>
                <w:tab w:val="left" w:pos="720"/>
                <w:tab w:val="left" w:pos="1080"/>
                <w:tab w:val="left" w:pos="1440"/>
                <w:tab w:val="left" w:pos="1800"/>
                <w:tab w:val="left" w:pos="2160"/>
                <w:tab w:val="left" w:pos="2520"/>
                <w:tab w:val="left" w:pos="2880"/>
              </w:tabs>
              <w:jc w:val="center"/>
            </w:pPr>
            <w:r w:rsidRPr="00337E58">
              <w:t>1.05</w:t>
            </w:r>
          </w:p>
        </w:tc>
      </w:tr>
    </w:tbl>
    <w:p w14:paraId="5A681D33" w14:textId="77777777" w:rsidR="005D4F08" w:rsidRPr="00337E58" w:rsidRDefault="005D4F08" w:rsidP="005D4F08">
      <w:pPr>
        <w:tabs>
          <w:tab w:val="left" w:pos="1440"/>
        </w:tabs>
        <w:ind w:left="1080"/>
      </w:pPr>
      <w:bookmarkStart w:id="0" w:name="_Hlk146720603"/>
    </w:p>
    <w:p w14:paraId="7BC6CC05" w14:textId="411232C8" w:rsidR="005D4F08" w:rsidRPr="00337E58" w:rsidRDefault="005D4F08" w:rsidP="005D4F08">
      <w:pPr>
        <w:pStyle w:val="BodyTextIndent3"/>
        <w:tabs>
          <w:tab w:val="left" w:pos="1080"/>
          <w:tab w:val="left" w:pos="1440"/>
          <w:tab w:val="left" w:pos="1800"/>
          <w:tab w:val="left" w:pos="2700"/>
        </w:tabs>
        <w:spacing w:after="0"/>
        <w:ind w:left="1080"/>
        <w:rPr>
          <w:b/>
          <w:i/>
          <w:sz w:val="24"/>
          <w:szCs w:val="24"/>
        </w:rPr>
      </w:pPr>
      <w:r w:rsidRPr="00337E58">
        <w:rPr>
          <w:sz w:val="24"/>
          <w:szCs w:val="24"/>
        </w:rPr>
        <w:t xml:space="preserve">Visible emissions from </w:t>
      </w:r>
      <w:r w:rsidRPr="00337E58">
        <w:rPr>
          <w:bCs/>
          <w:iCs/>
          <w:sz w:val="24"/>
          <w:szCs w:val="24"/>
        </w:rPr>
        <w:t>each of</w:t>
      </w:r>
      <w:r w:rsidRPr="00337E58">
        <w:rPr>
          <w:sz w:val="24"/>
          <w:szCs w:val="24"/>
        </w:rPr>
        <w:t xml:space="preserve"> </w:t>
      </w:r>
      <w:r w:rsidR="00735725" w:rsidRPr="00337E58">
        <w:rPr>
          <w:sz w:val="24"/>
          <w:szCs w:val="24"/>
        </w:rPr>
        <w:t>GEN #102-01 and GEN #102-02</w:t>
      </w:r>
      <w:r w:rsidR="00735725" w:rsidRPr="00337E58">
        <w:rPr>
          <w:b/>
          <w:i/>
          <w:sz w:val="24"/>
          <w:szCs w:val="24"/>
        </w:rPr>
        <w:t xml:space="preserve"> </w:t>
      </w:r>
      <w:r w:rsidRPr="00337E58">
        <w:rPr>
          <w:sz w:val="24"/>
          <w:szCs w:val="24"/>
        </w:rPr>
        <w:t>shall not exceed 20% opacity on a six-minute block average basis.</w:t>
      </w:r>
    </w:p>
    <w:p w14:paraId="688F466A" w14:textId="77777777" w:rsidR="005D4F08" w:rsidRPr="00337E58" w:rsidRDefault="005D4F08" w:rsidP="00735725"/>
    <w:p w14:paraId="574CE890" w14:textId="1F4C3FD5" w:rsidR="005D4F08" w:rsidRPr="00337E58" w:rsidRDefault="005D4F08" w:rsidP="005D4F08">
      <w:pPr>
        <w:ind w:left="1080"/>
        <w:rPr>
          <w:bCs/>
          <w:iCs/>
        </w:rPr>
      </w:pPr>
      <w:r w:rsidRPr="00337E58">
        <w:t xml:space="preserve">BPT for </w:t>
      </w:r>
      <w:r w:rsidR="00735725" w:rsidRPr="00337E58">
        <w:t>GEN #102-01 and GEN #102-02</w:t>
      </w:r>
      <w:r w:rsidR="00735725" w:rsidRPr="00337E58">
        <w:rPr>
          <w:b/>
          <w:i/>
        </w:rPr>
        <w:t xml:space="preserve"> </w:t>
      </w:r>
      <w:r w:rsidRPr="00337E58">
        <w:rPr>
          <w:bCs/>
          <w:iCs/>
        </w:rPr>
        <w:t>includes recordkeeping of all maintenance conducted on each engine.</w:t>
      </w:r>
    </w:p>
    <w:bookmarkEnd w:id="0"/>
    <w:p w14:paraId="3C82CE6E" w14:textId="77777777" w:rsidR="005D4F08" w:rsidRPr="00337E58" w:rsidRDefault="005D4F08" w:rsidP="005D4F08">
      <w:pPr>
        <w:tabs>
          <w:tab w:val="left" w:pos="720"/>
          <w:tab w:val="left" w:pos="1080"/>
        </w:tabs>
        <w:ind w:left="720" w:hanging="720"/>
      </w:pPr>
    </w:p>
    <w:p w14:paraId="01361DF1" w14:textId="77777777" w:rsidR="002F772A" w:rsidRPr="00337E58" w:rsidRDefault="005D4F08" w:rsidP="005D4F08">
      <w:pPr>
        <w:pStyle w:val="Heading4"/>
      </w:pPr>
      <w:r w:rsidRPr="00337E58">
        <w:t>Chapter 169</w:t>
      </w:r>
    </w:p>
    <w:p w14:paraId="14276113" w14:textId="77777777" w:rsidR="002F772A" w:rsidRPr="00337E58" w:rsidRDefault="002F772A" w:rsidP="006E35A9">
      <w:pPr>
        <w:jc w:val="left"/>
      </w:pPr>
    </w:p>
    <w:p w14:paraId="02455499" w14:textId="0AA8BC38" w:rsidR="005D4F08" w:rsidRPr="00337E58" w:rsidRDefault="00735725" w:rsidP="005D4F08">
      <w:pPr>
        <w:ind w:left="1080"/>
      </w:pPr>
      <w:r w:rsidRPr="00337E58">
        <w:t>GEN #102-01 and GEN #102-02</w:t>
      </w:r>
      <w:r w:rsidRPr="00337E58">
        <w:rPr>
          <w:b/>
          <w:i/>
        </w:rPr>
        <w:t xml:space="preserve"> </w:t>
      </w:r>
      <w:r w:rsidRPr="00337E58">
        <w:t>were</w:t>
      </w:r>
      <w:r w:rsidR="005D4F08" w:rsidRPr="00337E58">
        <w:t xml:space="preserve"> installed prior to the effective date of </w:t>
      </w:r>
      <w:r w:rsidR="005D4F08" w:rsidRPr="00337E58">
        <w:rPr>
          <w:i/>
          <w:iCs/>
        </w:rPr>
        <w:t>Stationary Generators</w:t>
      </w:r>
      <w:r w:rsidR="005D4F08" w:rsidRPr="00337E58">
        <w:t>, 06</w:t>
      </w:r>
      <w:r w:rsidR="005D4F08" w:rsidRPr="00337E58">
        <w:noBreakHyphen/>
        <w:t xml:space="preserve">096 C.M.R. ch. 169 and </w:t>
      </w:r>
      <w:r w:rsidRPr="00337E58">
        <w:t>are</w:t>
      </w:r>
      <w:r w:rsidR="005D4F08" w:rsidRPr="00337E58">
        <w:t xml:space="preserve"> therefore exempt from this rule pursuant to section 1.</w:t>
      </w:r>
    </w:p>
    <w:p w14:paraId="22F52745" w14:textId="77777777" w:rsidR="005D4F08" w:rsidRPr="00337E58" w:rsidRDefault="005D4F08" w:rsidP="00735725">
      <w:pPr>
        <w:tabs>
          <w:tab w:val="left" w:pos="720"/>
          <w:tab w:val="left" w:pos="1080"/>
        </w:tabs>
      </w:pPr>
    </w:p>
    <w:p w14:paraId="4128FFE8" w14:textId="01FB9C37" w:rsidR="005D4F08" w:rsidRPr="00337E58" w:rsidRDefault="005D4F08" w:rsidP="00735725">
      <w:pPr>
        <w:pStyle w:val="Heading4"/>
      </w:pPr>
      <w:r w:rsidRPr="00337E58">
        <w:t xml:space="preserve">New Source Performance Standards </w:t>
      </w:r>
    </w:p>
    <w:p w14:paraId="41678C9E" w14:textId="77777777" w:rsidR="00735725" w:rsidRPr="00337E58" w:rsidRDefault="00735725" w:rsidP="00735725"/>
    <w:p w14:paraId="5CEE45B1" w14:textId="34B0E986" w:rsidR="005D4F08" w:rsidRPr="00337E58" w:rsidRDefault="005D4F08" w:rsidP="005D4F08">
      <w:pPr>
        <w:pStyle w:val="BodyTextIndent"/>
        <w:tabs>
          <w:tab w:val="left" w:pos="1080"/>
        </w:tabs>
        <w:spacing w:after="0"/>
        <w:ind w:left="1080"/>
      </w:pPr>
      <w:r w:rsidRPr="00337E58">
        <w:rPr>
          <w:i/>
        </w:rPr>
        <w:t>Standards of Performance for Stationary Compression Ignition Internal Combustion Engines,</w:t>
      </w:r>
      <w:r w:rsidRPr="00337E58">
        <w:t xml:space="preserve"> 40 C.F.R. Part 60, Subpart IIII is applicable to the emergency engin</w:t>
      </w:r>
      <w:r w:rsidR="00735725" w:rsidRPr="00337E58">
        <w:t xml:space="preserve">es </w:t>
      </w:r>
      <w:r w:rsidRPr="00337E58">
        <w:t xml:space="preserve">listed </w:t>
      </w:r>
      <w:r w:rsidRPr="00337E58">
        <w:lastRenderedPageBreak/>
        <w:t>above since the uni</w:t>
      </w:r>
      <w:r w:rsidR="00735725" w:rsidRPr="00337E58">
        <w:t>ts</w:t>
      </w:r>
      <w:r w:rsidRPr="00337E58">
        <w:t xml:space="preserve"> </w:t>
      </w:r>
      <w:r w:rsidRPr="00337E58">
        <w:rPr>
          <w:bCs/>
          <w:iCs/>
        </w:rPr>
        <w:t>were</w:t>
      </w:r>
      <w:r w:rsidRPr="00337E58">
        <w:t xml:space="preserve"> ordered after July 11, 2005, and manufactured after April 1, 2006. [40 C.F.R. § 60.4200]</w:t>
      </w:r>
    </w:p>
    <w:p w14:paraId="3BF46C0C" w14:textId="77777777" w:rsidR="005D4F08" w:rsidRPr="00337E58" w:rsidRDefault="005D4F08" w:rsidP="005D4F08">
      <w:pPr>
        <w:pStyle w:val="BodyTextIndent"/>
        <w:tabs>
          <w:tab w:val="left" w:pos="1080"/>
        </w:tabs>
        <w:spacing w:after="0"/>
        <w:ind w:left="1080"/>
      </w:pPr>
    </w:p>
    <w:p w14:paraId="2AE1CC8C" w14:textId="77777777" w:rsidR="005D4F08" w:rsidRPr="00337E58" w:rsidRDefault="005D4F08" w:rsidP="005D4F08">
      <w:pPr>
        <w:pStyle w:val="BodyTextIndent"/>
        <w:tabs>
          <w:tab w:val="left" w:pos="1080"/>
        </w:tabs>
        <w:spacing w:after="0"/>
        <w:ind w:left="1080"/>
      </w:pPr>
      <w:r w:rsidRPr="00337E58">
        <w:t>A summary of applicable federal 40 C.F.R. Part 60, Subpart IIII requirements is listed below.</w:t>
      </w:r>
    </w:p>
    <w:p w14:paraId="3370D593" w14:textId="77777777" w:rsidR="005D4F08" w:rsidRPr="00337E58" w:rsidRDefault="005D4F08" w:rsidP="005D4F08">
      <w:pPr>
        <w:pStyle w:val="BodyTextIndent"/>
        <w:tabs>
          <w:tab w:val="left" w:pos="1080"/>
          <w:tab w:val="left" w:pos="1567"/>
        </w:tabs>
        <w:spacing w:after="0"/>
        <w:ind w:left="1080"/>
      </w:pPr>
      <w:r w:rsidRPr="00337E58">
        <w:t xml:space="preserve"> </w:t>
      </w:r>
      <w:r w:rsidRPr="00337E58">
        <w:tab/>
      </w:r>
    </w:p>
    <w:p w14:paraId="0ABE4385" w14:textId="77777777" w:rsidR="002F772A" w:rsidRPr="00337E58" w:rsidRDefault="005D4F08" w:rsidP="003E6CA9">
      <w:pPr>
        <w:pStyle w:val="Heading5"/>
        <w:numPr>
          <w:ilvl w:val="0"/>
          <w:numId w:val="52"/>
        </w:numPr>
      </w:pPr>
      <w:r w:rsidRPr="00337E58">
        <w:t>Emergency Engine Designation and Operating Criteria</w:t>
      </w:r>
    </w:p>
    <w:p w14:paraId="4030F3FF" w14:textId="77777777" w:rsidR="002F772A" w:rsidRPr="00337E58" w:rsidRDefault="002F772A" w:rsidP="006E35A9">
      <w:pPr>
        <w:jc w:val="left"/>
      </w:pPr>
    </w:p>
    <w:p w14:paraId="310D5DB2" w14:textId="77777777" w:rsidR="005D4F08" w:rsidRPr="00337E58" w:rsidRDefault="005D4F08" w:rsidP="005D4F08">
      <w:pPr>
        <w:tabs>
          <w:tab w:val="left" w:pos="1080"/>
          <w:tab w:val="left" w:pos="1440"/>
        </w:tabs>
        <w:ind w:left="1440"/>
      </w:pPr>
      <w:r w:rsidRPr="00337E58">
        <w:t xml:space="preserve">Under 40 C.F.R. Part 60, Subpart IIII, a stationary reciprocating internal combustion engine (ICE) is considered an </w:t>
      </w:r>
      <w:r w:rsidRPr="00337E58">
        <w:rPr>
          <w:b/>
        </w:rPr>
        <w:t>emergency</w:t>
      </w:r>
      <w:r w:rsidRPr="00337E58">
        <w:t xml:space="preserve"> stationary ICE (emergency engine) </w:t>
      </w:r>
      <w:proofErr w:type="gramStart"/>
      <w:r w:rsidRPr="00337E58">
        <w:t>as long as</w:t>
      </w:r>
      <w:proofErr w:type="gramEnd"/>
      <w:r w:rsidRPr="00337E58">
        <w:t xml:space="preserve"> the engine is operated in accordance with the following criteria.  Operation of an engine outside of the criteria specified below may cause the engine to no longer be considered an emergency engine under 40 C.F.R. Part 60, Subpart IIII, resulting in the engine being subject to requirements</w:t>
      </w:r>
      <w:r w:rsidR="00E71C1E" w:rsidRPr="00337E58">
        <w:t xml:space="preserve"> of this subpart</w:t>
      </w:r>
      <w:r w:rsidRPr="00337E58">
        <w:t xml:space="preserve"> applicable to </w:t>
      </w:r>
      <w:r w:rsidRPr="00337E58">
        <w:rPr>
          <w:b/>
        </w:rPr>
        <w:t>non-emergency</w:t>
      </w:r>
      <w:r w:rsidRPr="00337E58">
        <w:t xml:space="preserve"> engines.  </w:t>
      </w:r>
    </w:p>
    <w:p w14:paraId="68D04A42" w14:textId="77777777" w:rsidR="005D4F08" w:rsidRPr="00337E58" w:rsidRDefault="005D4F08" w:rsidP="005D4F08">
      <w:pPr>
        <w:tabs>
          <w:tab w:val="left" w:pos="1080"/>
          <w:tab w:val="left" w:pos="1440"/>
        </w:tabs>
        <w:ind w:left="1440"/>
      </w:pPr>
    </w:p>
    <w:p w14:paraId="19BDA297" w14:textId="77777777" w:rsidR="005D4F08" w:rsidRPr="00337E58" w:rsidRDefault="005D4F08" w:rsidP="003E6CA9">
      <w:pPr>
        <w:numPr>
          <w:ilvl w:val="0"/>
          <w:numId w:val="53"/>
        </w:numPr>
        <w:tabs>
          <w:tab w:val="left" w:pos="1080"/>
          <w:tab w:val="left" w:pos="1440"/>
        </w:tabs>
        <w:ind w:left="1800"/>
        <w:contextualSpacing/>
      </w:pPr>
      <w:proofErr w:type="gramStart"/>
      <w:r w:rsidRPr="00337E58">
        <w:t>Emergency Situation</w:t>
      </w:r>
      <w:proofErr w:type="gramEnd"/>
      <w:r w:rsidRPr="00337E58">
        <w:t xml:space="preserve"> Operation (On-Site)</w:t>
      </w:r>
    </w:p>
    <w:p w14:paraId="1B1341D1" w14:textId="77777777" w:rsidR="005D4F08" w:rsidRPr="00337E58" w:rsidRDefault="005D4F08" w:rsidP="005D4F08">
      <w:pPr>
        <w:tabs>
          <w:tab w:val="left" w:pos="1080"/>
        </w:tabs>
        <w:ind w:left="1800"/>
      </w:pPr>
    </w:p>
    <w:p w14:paraId="7B073A2E" w14:textId="77777777" w:rsidR="005D4F08" w:rsidRPr="00337E58" w:rsidRDefault="005D4F08" w:rsidP="005D4F08">
      <w:pPr>
        <w:tabs>
          <w:tab w:val="left" w:pos="1080"/>
        </w:tabs>
        <w:ind w:left="1800"/>
      </w:pPr>
      <w:r w:rsidRPr="00337E58">
        <w:rPr>
          <w:b/>
        </w:rPr>
        <w:t xml:space="preserve">There is no operating time limit on the use of an emergency engine to provide electrical power or mechanical work during </w:t>
      </w:r>
      <w:proofErr w:type="gramStart"/>
      <w:r w:rsidRPr="00337E58">
        <w:rPr>
          <w:b/>
        </w:rPr>
        <w:t>an emergency situation</w:t>
      </w:r>
      <w:proofErr w:type="gramEnd"/>
      <w:r w:rsidRPr="00337E58">
        <w:rPr>
          <w:b/>
        </w:rPr>
        <w:t>.</w:t>
      </w:r>
      <w:r w:rsidRPr="00337E58">
        <w:t xml:space="preserve">  Examples of use of an emergency engine during emergency situations include the following:</w:t>
      </w:r>
    </w:p>
    <w:p w14:paraId="5F4FFFFA" w14:textId="77777777" w:rsidR="005D4F08" w:rsidRPr="00337E58" w:rsidRDefault="005D4F08" w:rsidP="005D4F08">
      <w:pPr>
        <w:pStyle w:val="ListParagraph"/>
        <w:numPr>
          <w:ilvl w:val="0"/>
          <w:numId w:val="45"/>
        </w:numPr>
        <w:tabs>
          <w:tab w:val="left" w:pos="1080"/>
        </w:tabs>
        <w:rPr>
          <w:b/>
        </w:rPr>
      </w:pPr>
      <w:r w:rsidRPr="00337E58">
        <w:t>Use of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337E58">
        <w:t>);</w:t>
      </w:r>
      <w:proofErr w:type="gramEnd"/>
      <w:r w:rsidRPr="00337E58">
        <w:t xml:space="preserve"> </w:t>
      </w:r>
    </w:p>
    <w:p w14:paraId="1B1C1109" w14:textId="77777777" w:rsidR="005D4F08" w:rsidRPr="00337E58" w:rsidRDefault="005D4F08" w:rsidP="005D4F08">
      <w:pPr>
        <w:pStyle w:val="ListParagraph"/>
        <w:numPr>
          <w:ilvl w:val="0"/>
          <w:numId w:val="45"/>
        </w:numPr>
        <w:tabs>
          <w:tab w:val="left" w:pos="1080"/>
        </w:tabs>
        <w:rPr>
          <w:b/>
        </w:rPr>
      </w:pPr>
      <w:r w:rsidRPr="00337E58">
        <w:t xml:space="preserve">Use of an engine to mitigate an on-site </w:t>
      </w:r>
      <w:proofErr w:type="gramStart"/>
      <w:r w:rsidRPr="00337E58">
        <w:t>disaster;</w:t>
      </w:r>
      <w:proofErr w:type="gramEnd"/>
      <w:r w:rsidRPr="00337E58">
        <w:t xml:space="preserve"> </w:t>
      </w:r>
    </w:p>
    <w:p w14:paraId="1EC6395F" w14:textId="77777777" w:rsidR="005D4F08" w:rsidRPr="00337E58" w:rsidRDefault="005D4F08" w:rsidP="005D4F08">
      <w:pPr>
        <w:pStyle w:val="ListParagraph"/>
        <w:numPr>
          <w:ilvl w:val="0"/>
          <w:numId w:val="45"/>
        </w:numPr>
        <w:tabs>
          <w:tab w:val="left" w:pos="1080"/>
        </w:tabs>
        <w:rPr>
          <w:b/>
        </w:rPr>
      </w:pPr>
      <w:r w:rsidRPr="00337E58">
        <w:t xml:space="preserve">Use of an engine to pump water in the case of fire, flood, natural disaster, or severe weather conditions; and </w:t>
      </w:r>
    </w:p>
    <w:p w14:paraId="3593C6B5" w14:textId="77777777" w:rsidR="005D4F08" w:rsidRPr="00337E58" w:rsidRDefault="005D4F08" w:rsidP="005D4F08">
      <w:pPr>
        <w:pStyle w:val="ListParagraph"/>
        <w:numPr>
          <w:ilvl w:val="0"/>
          <w:numId w:val="45"/>
        </w:numPr>
        <w:tabs>
          <w:tab w:val="left" w:pos="1080"/>
        </w:tabs>
        <w:rPr>
          <w:b/>
        </w:rPr>
      </w:pPr>
      <w:r w:rsidRPr="00337E58">
        <w:t xml:space="preserve">Similar instances. </w:t>
      </w:r>
    </w:p>
    <w:p w14:paraId="013AD564" w14:textId="77777777" w:rsidR="005D4F08" w:rsidRPr="00337E58" w:rsidRDefault="005D4F08" w:rsidP="005D4F08">
      <w:pPr>
        <w:autoSpaceDE w:val="0"/>
        <w:autoSpaceDN w:val="0"/>
        <w:adjustRightInd w:val="0"/>
        <w:ind w:left="2160"/>
        <w:contextualSpacing/>
      </w:pPr>
    </w:p>
    <w:p w14:paraId="49190351" w14:textId="77777777" w:rsidR="005D4F08" w:rsidRPr="00337E58" w:rsidRDefault="005D4F08" w:rsidP="003E6CA9">
      <w:pPr>
        <w:numPr>
          <w:ilvl w:val="0"/>
          <w:numId w:val="53"/>
        </w:numPr>
        <w:autoSpaceDE w:val="0"/>
        <w:autoSpaceDN w:val="0"/>
        <w:adjustRightInd w:val="0"/>
        <w:ind w:left="1800"/>
        <w:contextualSpacing/>
      </w:pPr>
      <w:r w:rsidRPr="00337E58">
        <w:rPr>
          <w:iCs/>
        </w:rPr>
        <w:t>Non-Emergency Situation Operation</w:t>
      </w:r>
    </w:p>
    <w:p w14:paraId="5FA117C9" w14:textId="77777777" w:rsidR="005D4F08" w:rsidRPr="00337E58" w:rsidRDefault="005D4F08" w:rsidP="005D4F08">
      <w:pPr>
        <w:autoSpaceDE w:val="0"/>
        <w:autoSpaceDN w:val="0"/>
        <w:adjustRightInd w:val="0"/>
        <w:ind w:left="1440"/>
        <w:rPr>
          <w:iCs/>
        </w:rPr>
      </w:pPr>
    </w:p>
    <w:p w14:paraId="421A6BC3" w14:textId="77777777" w:rsidR="005D4F08" w:rsidRPr="00337E58" w:rsidRDefault="005D4F08" w:rsidP="005D4F08">
      <w:pPr>
        <w:autoSpaceDE w:val="0"/>
        <w:autoSpaceDN w:val="0"/>
        <w:adjustRightInd w:val="0"/>
        <w:ind w:left="1800"/>
      </w:pPr>
      <w:r w:rsidRPr="00337E58">
        <w:rPr>
          <w:iCs/>
        </w:rPr>
        <w:t>An emergency engine may be operated up to a maximum of 100 hours per calendar year for maintenance checks, readiness testing, and other non</w:t>
      </w:r>
      <w:r w:rsidRPr="00337E58">
        <w:rPr>
          <w:iCs/>
        </w:rPr>
        <w:noBreakHyphen/>
        <w:t>emergency situations as described below.</w:t>
      </w:r>
    </w:p>
    <w:p w14:paraId="0AA4E758" w14:textId="77777777" w:rsidR="005D4F08" w:rsidRPr="00337E58" w:rsidRDefault="005D4F08" w:rsidP="005D4F08">
      <w:pPr>
        <w:autoSpaceDE w:val="0"/>
        <w:autoSpaceDN w:val="0"/>
        <w:adjustRightInd w:val="0"/>
        <w:ind w:left="1800"/>
        <w:contextualSpacing/>
      </w:pPr>
    </w:p>
    <w:p w14:paraId="734BC3BA" w14:textId="77777777" w:rsidR="005D4F08" w:rsidRPr="00337E58" w:rsidRDefault="005D4F08" w:rsidP="003E6CA9">
      <w:pPr>
        <w:numPr>
          <w:ilvl w:val="0"/>
          <w:numId w:val="54"/>
        </w:numPr>
        <w:autoSpaceDE w:val="0"/>
        <w:autoSpaceDN w:val="0"/>
        <w:adjustRightInd w:val="0"/>
        <w:ind w:left="2160"/>
        <w:contextualSpacing/>
      </w:pPr>
      <w:r w:rsidRPr="00337E58">
        <w:rPr>
          <w:iCs/>
        </w:rPr>
        <w:t>An e</w:t>
      </w:r>
      <w:r w:rsidRPr="00337E58">
        <w:t xml:space="preserve">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w:t>
      </w:r>
      <w:r w:rsidRPr="00337E58">
        <w:lastRenderedPageBreak/>
        <w:t>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3CA0AF94" w14:textId="77777777" w:rsidR="005D4F08" w:rsidRPr="00337E58" w:rsidRDefault="005D4F08" w:rsidP="005D4F08">
      <w:pPr>
        <w:tabs>
          <w:tab w:val="left" w:pos="1080"/>
        </w:tabs>
        <w:ind w:left="1440"/>
      </w:pPr>
    </w:p>
    <w:p w14:paraId="7B7CA817" w14:textId="77777777" w:rsidR="005D4F08" w:rsidRPr="00337E58" w:rsidRDefault="005D4F08" w:rsidP="003E6CA9">
      <w:pPr>
        <w:numPr>
          <w:ilvl w:val="0"/>
          <w:numId w:val="55"/>
        </w:numPr>
        <w:tabs>
          <w:tab w:val="left" w:pos="1440"/>
          <w:tab w:val="left" w:pos="1800"/>
        </w:tabs>
        <w:ind w:left="2160"/>
        <w:contextualSpacing/>
      </w:pPr>
      <w:r w:rsidRPr="00337E58">
        <w:rPr>
          <w:iCs/>
        </w:rPr>
        <w:t>An e</w:t>
      </w:r>
      <w:r w:rsidRPr="00337E58">
        <w:t>mergency engine may be operated for up to 50 hours per calendar year for other non</w:t>
      </w:r>
      <w:r w:rsidRPr="00337E58">
        <w:noBreakHyphen/>
        <w:t xml:space="preserve">emergency situations.  </w:t>
      </w:r>
      <w:r w:rsidRPr="00337E58">
        <w:rPr>
          <w:b/>
        </w:rPr>
        <w:t>However,</w:t>
      </w:r>
      <w:r w:rsidRPr="00337E58">
        <w:t xml:space="preserve"> </w:t>
      </w:r>
      <w:r w:rsidRPr="00337E58">
        <w:rPr>
          <w:b/>
        </w:rPr>
        <w:t>these operating hours are counted as part of the 100 hours per calendar year</w:t>
      </w:r>
      <w:r w:rsidRPr="00337E58">
        <w:t xml:space="preserve"> </w:t>
      </w:r>
      <w:r w:rsidRPr="00337E58">
        <w:rPr>
          <w:b/>
        </w:rPr>
        <w:t>operating limit described in paragraph (2) and (2) (i) above.</w:t>
      </w:r>
    </w:p>
    <w:p w14:paraId="784966B3" w14:textId="77777777" w:rsidR="005D4F08" w:rsidRPr="00337E58" w:rsidRDefault="005D4F08" w:rsidP="005D4F08">
      <w:pPr>
        <w:tabs>
          <w:tab w:val="left" w:pos="1440"/>
          <w:tab w:val="left" w:pos="1800"/>
        </w:tabs>
        <w:ind w:left="2160"/>
        <w:contextualSpacing/>
      </w:pPr>
      <w:r w:rsidRPr="00337E58">
        <w:rPr>
          <w:b/>
        </w:rPr>
        <w:t xml:space="preserve"> </w:t>
      </w:r>
      <w:r w:rsidRPr="00337E58">
        <w:rPr>
          <w:b/>
        </w:rPr>
        <w:br/>
      </w:r>
      <w:r w:rsidRPr="00337E58">
        <w:t>The 50 hours per calendar year operating limit for other non</w:t>
      </w:r>
      <w:r w:rsidRPr="00337E58">
        <w:noBreakHyphen/>
        <w:t>emergency situations cannot be used for peak shaving, demand response, or to generate income for a facility by providing power to an electric grid or otherwise supply power as part of a financial arrangement with another entity.</w:t>
      </w:r>
    </w:p>
    <w:p w14:paraId="32F5D40B" w14:textId="77777777" w:rsidR="005D4F08" w:rsidRPr="00337E58" w:rsidRDefault="005D4F08" w:rsidP="005D4F08">
      <w:pPr>
        <w:tabs>
          <w:tab w:val="left" w:pos="1440"/>
          <w:tab w:val="left" w:pos="1800"/>
        </w:tabs>
        <w:ind w:left="2160"/>
        <w:contextualSpacing/>
      </w:pPr>
    </w:p>
    <w:p w14:paraId="1BD47CF2" w14:textId="77777777" w:rsidR="005D4F08" w:rsidRPr="00337E58" w:rsidRDefault="005D4F08" w:rsidP="005D4F08">
      <w:pPr>
        <w:autoSpaceDE w:val="0"/>
        <w:autoSpaceDN w:val="0"/>
        <w:adjustRightInd w:val="0"/>
        <w:ind w:left="1440"/>
      </w:pPr>
      <w:r w:rsidRPr="00337E58">
        <w:rPr>
          <w:iCs/>
        </w:rPr>
        <w:t>[40 C.F.R. §§ 60.4211(f) and 60.4219]</w:t>
      </w:r>
    </w:p>
    <w:p w14:paraId="41CA0650" w14:textId="77777777" w:rsidR="002F772A" w:rsidRPr="00337E58" w:rsidRDefault="002F772A" w:rsidP="006E35A9">
      <w:pPr>
        <w:jc w:val="left"/>
      </w:pPr>
    </w:p>
    <w:p w14:paraId="7E60FFF4" w14:textId="77777777" w:rsidR="005D4F08" w:rsidRPr="00337E58" w:rsidRDefault="005D4F08" w:rsidP="005D4F08">
      <w:pPr>
        <w:pStyle w:val="Heading5"/>
      </w:pPr>
      <w:r w:rsidRPr="00337E58">
        <w:t>40 C.F.R. Part 60, Subpart IIII Requirements</w:t>
      </w:r>
    </w:p>
    <w:p w14:paraId="6A482C20" w14:textId="77777777" w:rsidR="005D4F08" w:rsidRPr="00337E58" w:rsidRDefault="005D4F08" w:rsidP="005D4F08">
      <w:pPr>
        <w:pStyle w:val="BodyTextIndent"/>
        <w:tabs>
          <w:tab w:val="left" w:pos="1080"/>
        </w:tabs>
        <w:spacing w:after="0"/>
        <w:ind w:left="1440"/>
      </w:pPr>
    </w:p>
    <w:p w14:paraId="6DD1A475" w14:textId="77777777" w:rsidR="005D4F08" w:rsidRPr="00337E58" w:rsidRDefault="005D4F08" w:rsidP="003E6CA9">
      <w:pPr>
        <w:pStyle w:val="BodyTextIndent"/>
        <w:numPr>
          <w:ilvl w:val="0"/>
          <w:numId w:val="56"/>
        </w:numPr>
        <w:tabs>
          <w:tab w:val="left" w:pos="1080"/>
          <w:tab w:val="left" w:pos="1800"/>
        </w:tabs>
        <w:spacing w:after="0"/>
        <w:ind w:left="1800"/>
        <w:jc w:val="left"/>
      </w:pPr>
      <w:r w:rsidRPr="00337E58">
        <w:t>Manufacturer Certification Requirement</w:t>
      </w:r>
    </w:p>
    <w:p w14:paraId="1E9F1EBB" w14:textId="352BFF16" w:rsidR="005D4F08" w:rsidRPr="00337E58" w:rsidRDefault="005D4F08" w:rsidP="005D4F08">
      <w:pPr>
        <w:pStyle w:val="BodyTextIndent"/>
        <w:tabs>
          <w:tab w:val="left" w:pos="1080"/>
          <w:tab w:val="left" w:pos="1800"/>
        </w:tabs>
        <w:spacing w:after="0"/>
        <w:ind w:left="1800"/>
      </w:pPr>
      <w:r w:rsidRPr="00337E58">
        <w:t>The engin</w:t>
      </w:r>
      <w:r w:rsidR="00735725" w:rsidRPr="00337E58">
        <w:t>es</w:t>
      </w:r>
      <w:r w:rsidRPr="00337E58">
        <w:t xml:space="preserve"> shall be certified by the manufacturer as meeting the emission standards for new </w:t>
      </w:r>
      <w:r w:rsidR="00824665" w:rsidRPr="00337E58">
        <w:t>non-road</w:t>
      </w:r>
      <w:r w:rsidRPr="00337E58">
        <w:t xml:space="preserve"> compression ignition engines found in 40 C.F.R. § 60.4202. [40 C.F.R. § 60.4205(b)]</w:t>
      </w:r>
    </w:p>
    <w:p w14:paraId="596ABA15" w14:textId="77777777" w:rsidR="005D4F08" w:rsidRPr="00337E58" w:rsidRDefault="005D4F08" w:rsidP="005D4F08">
      <w:pPr>
        <w:pStyle w:val="BodyTextIndent"/>
        <w:tabs>
          <w:tab w:val="left" w:pos="1080"/>
          <w:tab w:val="left" w:pos="1800"/>
        </w:tabs>
        <w:spacing w:after="0"/>
        <w:ind w:left="1800"/>
      </w:pPr>
    </w:p>
    <w:p w14:paraId="6E71A2C6" w14:textId="77777777" w:rsidR="005D4F08" w:rsidRPr="00337E58" w:rsidRDefault="005D4F08" w:rsidP="003E6CA9">
      <w:pPr>
        <w:pStyle w:val="BodyTextIndent"/>
        <w:numPr>
          <w:ilvl w:val="0"/>
          <w:numId w:val="56"/>
        </w:numPr>
        <w:tabs>
          <w:tab w:val="left" w:pos="1080"/>
          <w:tab w:val="left" w:pos="1800"/>
        </w:tabs>
        <w:spacing w:after="0"/>
        <w:ind w:left="1800"/>
      </w:pPr>
      <w:r w:rsidRPr="00337E58">
        <w:t>Ultra-Low Sulfur Fuel Requirement</w:t>
      </w:r>
    </w:p>
    <w:p w14:paraId="187E7C65" w14:textId="0B827B0C" w:rsidR="005D4F08" w:rsidRPr="00337E58" w:rsidRDefault="005D4F08" w:rsidP="005D4F08">
      <w:pPr>
        <w:pStyle w:val="BodyTextIndent"/>
        <w:tabs>
          <w:tab w:val="left" w:pos="1080"/>
          <w:tab w:val="left" w:pos="1800"/>
        </w:tabs>
        <w:spacing w:after="0"/>
        <w:ind w:left="1800"/>
      </w:pPr>
      <w:r w:rsidRPr="00337E58">
        <w:t>The fuel fired in the engin</w:t>
      </w:r>
      <w:r w:rsidR="00824665" w:rsidRPr="00337E58">
        <w:t>es</w:t>
      </w:r>
      <w:r w:rsidRPr="00337E58">
        <w:t xml:space="preserve"> shall not exceed 15 ppm sulfur (0.0015% sulfur). </w:t>
      </w:r>
    </w:p>
    <w:p w14:paraId="4776E8E9" w14:textId="77777777" w:rsidR="005D4F08" w:rsidRPr="00337E58" w:rsidRDefault="005D4F08" w:rsidP="005D4F08">
      <w:pPr>
        <w:pStyle w:val="BodyTextIndent"/>
        <w:tabs>
          <w:tab w:val="left" w:pos="1080"/>
          <w:tab w:val="left" w:pos="1800"/>
        </w:tabs>
        <w:spacing w:after="0"/>
        <w:ind w:left="1800"/>
      </w:pPr>
      <w:r w:rsidRPr="00337E58">
        <w:t>[40 C.F.R. § 60.4207(b)]</w:t>
      </w:r>
    </w:p>
    <w:p w14:paraId="37D211A8" w14:textId="77777777" w:rsidR="005D4F08" w:rsidRPr="00337E58" w:rsidRDefault="005D4F08" w:rsidP="005D4F08">
      <w:pPr>
        <w:pStyle w:val="BodyTextIndent"/>
        <w:tabs>
          <w:tab w:val="left" w:pos="1080"/>
          <w:tab w:val="left" w:pos="1800"/>
        </w:tabs>
        <w:spacing w:after="0"/>
        <w:ind w:left="0"/>
      </w:pPr>
    </w:p>
    <w:p w14:paraId="10FC19CC" w14:textId="77777777" w:rsidR="005D4F08" w:rsidRPr="00337E58" w:rsidRDefault="005D4F08" w:rsidP="003E6CA9">
      <w:pPr>
        <w:pStyle w:val="BodyTextIndent"/>
        <w:numPr>
          <w:ilvl w:val="0"/>
          <w:numId w:val="56"/>
        </w:numPr>
        <w:tabs>
          <w:tab w:val="left" w:pos="1080"/>
          <w:tab w:val="left" w:pos="1800"/>
        </w:tabs>
        <w:spacing w:after="0"/>
        <w:ind w:left="1800"/>
        <w:jc w:val="left"/>
      </w:pPr>
      <w:r w:rsidRPr="00337E58">
        <w:t>Non-Resettable Hour Meter Requirement</w:t>
      </w:r>
    </w:p>
    <w:p w14:paraId="327670B1" w14:textId="69BE2E01" w:rsidR="005D4F08" w:rsidRPr="00337E58" w:rsidRDefault="005D4F08" w:rsidP="005D4F08">
      <w:pPr>
        <w:pStyle w:val="BodyTextIndent"/>
        <w:tabs>
          <w:tab w:val="left" w:pos="1080"/>
          <w:tab w:val="left" w:pos="1800"/>
        </w:tabs>
        <w:spacing w:after="0"/>
        <w:ind w:left="1800"/>
      </w:pPr>
      <w:r w:rsidRPr="00337E58">
        <w:t xml:space="preserve">A non-resettable hour meter shall be installed and operated on </w:t>
      </w:r>
      <w:r w:rsidRPr="00337E58">
        <w:rPr>
          <w:bCs/>
          <w:iCs/>
        </w:rPr>
        <w:t>each</w:t>
      </w:r>
      <w:r w:rsidRPr="00337E58">
        <w:t xml:space="preserve"> engine. [40</w:t>
      </w:r>
      <w:r w:rsidR="00735725" w:rsidRPr="00337E58">
        <w:t> </w:t>
      </w:r>
      <w:r w:rsidRPr="00337E58">
        <w:t>C.F.R. § 60.4209(a)]</w:t>
      </w:r>
    </w:p>
    <w:p w14:paraId="04CDF804" w14:textId="77777777" w:rsidR="005D4F08" w:rsidRPr="00337E58" w:rsidRDefault="005D4F08" w:rsidP="005D4F08">
      <w:pPr>
        <w:pStyle w:val="BodyTextIndent"/>
        <w:tabs>
          <w:tab w:val="left" w:pos="1080"/>
          <w:tab w:val="left" w:pos="1800"/>
        </w:tabs>
        <w:spacing w:after="0"/>
        <w:ind w:left="1800"/>
      </w:pPr>
    </w:p>
    <w:p w14:paraId="6CB07064" w14:textId="77777777" w:rsidR="005D4F08" w:rsidRPr="00337E58" w:rsidRDefault="005D4F08" w:rsidP="003E6CA9">
      <w:pPr>
        <w:pStyle w:val="BodyTextIndent"/>
        <w:numPr>
          <w:ilvl w:val="0"/>
          <w:numId w:val="56"/>
        </w:numPr>
        <w:tabs>
          <w:tab w:val="left" w:pos="1080"/>
          <w:tab w:val="left" w:pos="1800"/>
        </w:tabs>
        <w:spacing w:after="0"/>
        <w:ind w:left="1800"/>
        <w:jc w:val="left"/>
      </w:pPr>
      <w:r w:rsidRPr="00337E58">
        <w:t>Operation and Maintenance Requirements</w:t>
      </w:r>
    </w:p>
    <w:p w14:paraId="47D49C59" w14:textId="4B12D0D9" w:rsidR="005D4F08" w:rsidRPr="00337E58" w:rsidRDefault="005D4F08" w:rsidP="005D4F08">
      <w:pPr>
        <w:pStyle w:val="BodyTextIndent"/>
        <w:tabs>
          <w:tab w:val="left" w:pos="1080"/>
          <w:tab w:val="left" w:pos="1800"/>
        </w:tabs>
        <w:spacing w:after="0"/>
        <w:ind w:left="1800"/>
      </w:pPr>
      <w:r w:rsidRPr="00337E58">
        <w:t>The engin</w:t>
      </w:r>
      <w:r w:rsidR="00735725" w:rsidRPr="00337E58">
        <w:t>es</w:t>
      </w:r>
      <w:r w:rsidRPr="00337E58">
        <w:t xml:space="preserve"> shall be operated and maintained according to the manufacturer’s emission-related written instructions. </w:t>
      </w:r>
      <w:r w:rsidR="00735725" w:rsidRPr="00337E58">
        <w:rPr>
          <w:bCs/>
          <w:iCs/>
        </w:rPr>
        <w:t>NSAPH</w:t>
      </w:r>
      <w:r w:rsidRPr="00337E58">
        <w:t xml:space="preserve"> may only change those emission-related settings that are permitted by the manufacturer. [40 C.F.R. § 60.4211(a)]</w:t>
      </w:r>
    </w:p>
    <w:p w14:paraId="427ECB16" w14:textId="77777777" w:rsidR="005D4F08" w:rsidRPr="00337E58" w:rsidRDefault="005D4F08" w:rsidP="005D4F08">
      <w:pPr>
        <w:pStyle w:val="BodyTextIndent"/>
        <w:tabs>
          <w:tab w:val="left" w:pos="1080"/>
          <w:tab w:val="left" w:pos="1800"/>
        </w:tabs>
        <w:spacing w:after="0"/>
        <w:ind w:left="1800"/>
      </w:pPr>
    </w:p>
    <w:p w14:paraId="1541F325" w14:textId="123DA690" w:rsidR="005D4F08" w:rsidRPr="00337E58" w:rsidRDefault="00735725" w:rsidP="005D4F08">
      <w:pPr>
        <w:pStyle w:val="BodyTextIndent"/>
        <w:tabs>
          <w:tab w:val="left" w:pos="1080"/>
          <w:tab w:val="left" w:pos="1800"/>
        </w:tabs>
        <w:spacing w:after="0"/>
        <w:ind w:left="1800"/>
      </w:pPr>
      <w:r w:rsidRPr="00337E58">
        <w:t>NSAPH</w:t>
      </w:r>
      <w:r w:rsidR="005D4F08" w:rsidRPr="00337E58">
        <w:t xml:space="preserve"> shall have available for review by the Department a copy of the manufacturer’s emission-related written instructions for engine operation and maintenance. [06-096 C.M.R. ch. 115, BPT]</w:t>
      </w:r>
    </w:p>
    <w:p w14:paraId="1E19985A" w14:textId="77777777" w:rsidR="005D4F08" w:rsidRPr="00337E58" w:rsidRDefault="005D4F08" w:rsidP="005D4F08">
      <w:pPr>
        <w:pStyle w:val="BodyTextIndent"/>
        <w:tabs>
          <w:tab w:val="left" w:pos="1080"/>
          <w:tab w:val="left" w:pos="1800"/>
        </w:tabs>
        <w:spacing w:after="0"/>
        <w:ind w:left="0"/>
      </w:pPr>
    </w:p>
    <w:p w14:paraId="56F67A3A" w14:textId="77777777" w:rsidR="005D4F08" w:rsidRPr="00337E58" w:rsidRDefault="005D4F08" w:rsidP="003E6CA9">
      <w:pPr>
        <w:pStyle w:val="BodyTextIndent"/>
        <w:numPr>
          <w:ilvl w:val="0"/>
          <w:numId w:val="56"/>
        </w:numPr>
        <w:tabs>
          <w:tab w:val="left" w:pos="1080"/>
          <w:tab w:val="left" w:pos="1800"/>
        </w:tabs>
        <w:spacing w:after="0"/>
        <w:ind w:left="1800"/>
        <w:jc w:val="left"/>
      </w:pPr>
      <w:r w:rsidRPr="00337E58">
        <w:t>Annual Time Limit for Maintenance and Testing</w:t>
      </w:r>
    </w:p>
    <w:p w14:paraId="48BBF27D" w14:textId="23491CFE" w:rsidR="005D4F08" w:rsidRPr="00337E58" w:rsidRDefault="005D4F08" w:rsidP="005D4F08">
      <w:pPr>
        <w:pStyle w:val="BodyTextIndent"/>
        <w:tabs>
          <w:tab w:val="left" w:pos="1080"/>
          <w:tab w:val="left" w:pos="1800"/>
        </w:tabs>
        <w:spacing w:after="0"/>
        <w:ind w:left="1800"/>
      </w:pPr>
      <w:r w:rsidRPr="00337E58">
        <w:lastRenderedPageBreak/>
        <w:t>As emergency engin</w:t>
      </w:r>
      <w:r w:rsidR="00735725" w:rsidRPr="00337E58">
        <w:t>es</w:t>
      </w:r>
      <w:r w:rsidRPr="00337E58">
        <w:t>, the uni</w:t>
      </w:r>
      <w:r w:rsidR="00735725" w:rsidRPr="00337E58">
        <w:t>ts</w:t>
      </w:r>
      <w:r w:rsidRPr="00337E58">
        <w:t xml:space="preserve"> shall </w:t>
      </w:r>
      <w:r w:rsidRPr="00337E58">
        <w:rPr>
          <w:bCs/>
          <w:iCs/>
        </w:rPr>
        <w:t>each</w:t>
      </w:r>
      <w:r w:rsidRPr="00337E58">
        <w:t xml:space="preserve"> be limited to 100 hours/year for maintenance checks and readiness testing. Up to 50 hours/year of the 100 hours/year may be used in non-emergency situations (this does not include peak shaving, demand response, or to generate income for a facility by providing power to an electric grid or otherwise supply power as part of a financial arrangement with another entity). [40 C.F.R. § 60.4211(f)]</w:t>
      </w:r>
    </w:p>
    <w:p w14:paraId="6D528311" w14:textId="77777777" w:rsidR="005D4F08" w:rsidRPr="00337E58" w:rsidRDefault="005D4F08" w:rsidP="005D4F08">
      <w:pPr>
        <w:pStyle w:val="BodyTextIndent"/>
        <w:tabs>
          <w:tab w:val="left" w:pos="1080"/>
          <w:tab w:val="left" w:pos="1800"/>
        </w:tabs>
        <w:spacing w:after="0"/>
        <w:ind w:left="0"/>
      </w:pPr>
    </w:p>
    <w:p w14:paraId="117B2554" w14:textId="77777777" w:rsidR="005D4F08" w:rsidRPr="00337E58" w:rsidRDefault="005D4F08" w:rsidP="003E6CA9">
      <w:pPr>
        <w:pStyle w:val="BodyTextIndent"/>
        <w:numPr>
          <w:ilvl w:val="0"/>
          <w:numId w:val="56"/>
        </w:numPr>
        <w:tabs>
          <w:tab w:val="left" w:pos="1080"/>
          <w:tab w:val="left" w:pos="1800"/>
        </w:tabs>
        <w:spacing w:after="0"/>
        <w:ind w:left="1800"/>
        <w:jc w:val="left"/>
      </w:pPr>
      <w:r w:rsidRPr="00337E58">
        <w:t>Initial Notification Requirement</w:t>
      </w:r>
    </w:p>
    <w:p w14:paraId="3C53CEA0" w14:textId="77777777" w:rsidR="005D4F08" w:rsidRPr="00337E58" w:rsidRDefault="005D4F08" w:rsidP="005D4F08">
      <w:pPr>
        <w:pStyle w:val="BodyTextIndent"/>
        <w:tabs>
          <w:tab w:val="left" w:pos="1080"/>
          <w:tab w:val="left" w:pos="1800"/>
        </w:tabs>
        <w:spacing w:after="0"/>
        <w:ind w:left="1800" w:hanging="1080"/>
      </w:pPr>
      <w:r w:rsidRPr="00337E58">
        <w:tab/>
      </w:r>
      <w:r w:rsidRPr="00337E58">
        <w:tab/>
        <w:t>No initial notification is required under 40 C.F.R. Part 60, Subpart IIII for emergency engines. [40 C.F.R. § 60.4214(b)]</w:t>
      </w:r>
    </w:p>
    <w:p w14:paraId="762A920F" w14:textId="77777777" w:rsidR="005D4F08" w:rsidRPr="00337E58" w:rsidRDefault="005D4F08" w:rsidP="005D4F08">
      <w:pPr>
        <w:pStyle w:val="BodyTextIndent"/>
        <w:tabs>
          <w:tab w:val="left" w:pos="1080"/>
          <w:tab w:val="left" w:pos="1800"/>
        </w:tabs>
        <w:spacing w:after="0"/>
        <w:ind w:left="1800" w:hanging="1080"/>
      </w:pPr>
    </w:p>
    <w:p w14:paraId="5A3243A8" w14:textId="77777777" w:rsidR="005D4F08" w:rsidRPr="00337E58" w:rsidRDefault="005D4F08" w:rsidP="003E6CA9">
      <w:pPr>
        <w:pStyle w:val="ListParagraph"/>
        <w:numPr>
          <w:ilvl w:val="0"/>
          <w:numId w:val="56"/>
        </w:numPr>
        <w:tabs>
          <w:tab w:val="left" w:pos="1080"/>
        </w:tabs>
        <w:ind w:left="1800"/>
        <w:contextualSpacing w:val="0"/>
      </w:pPr>
      <w:r w:rsidRPr="00337E58">
        <w:t>Recordkeeping</w:t>
      </w:r>
    </w:p>
    <w:p w14:paraId="084B749E" w14:textId="7151AD97" w:rsidR="005D4F08" w:rsidRPr="00337E58" w:rsidRDefault="0016242B" w:rsidP="002F1D70">
      <w:pPr>
        <w:tabs>
          <w:tab w:val="left" w:pos="1080"/>
          <w:tab w:val="left" w:pos="1800"/>
        </w:tabs>
        <w:ind w:left="1800"/>
      </w:pPr>
      <w:r w:rsidRPr="00337E58">
        <w:rPr>
          <w:bCs/>
          <w:iCs/>
        </w:rPr>
        <w:t>NSAPH</w:t>
      </w:r>
      <w:r w:rsidR="005D4F08" w:rsidRPr="00337E58">
        <w:t xml:space="preserve"> shall keep records that include the hours of operation of </w:t>
      </w:r>
      <w:r w:rsidR="005D4F08" w:rsidRPr="00337E58">
        <w:rPr>
          <w:bCs/>
          <w:iCs/>
        </w:rPr>
        <w:t>each</w:t>
      </w:r>
      <w:r w:rsidR="005D4F08" w:rsidRPr="00337E58">
        <w:t xml:space="preserve"> engine recorded through the non-resettable hour meter. Documentation shall include the number of hours </w:t>
      </w:r>
      <w:r w:rsidR="005D4F08" w:rsidRPr="00337E58">
        <w:rPr>
          <w:bCs/>
          <w:iCs/>
        </w:rPr>
        <w:t>each</w:t>
      </w:r>
      <w:r w:rsidR="005D4F08" w:rsidRPr="00337E58">
        <w:t xml:space="preserve"> unit operated for emergency purposes, the number of hours </w:t>
      </w:r>
      <w:r w:rsidR="005D4F08" w:rsidRPr="00337E58">
        <w:rPr>
          <w:bCs/>
          <w:iCs/>
        </w:rPr>
        <w:t>each</w:t>
      </w:r>
      <w:r w:rsidR="005D4F08" w:rsidRPr="00337E58">
        <w:t xml:space="preserve"> unit operated for non-emergency purposes, and the reason </w:t>
      </w:r>
      <w:r w:rsidR="005D4F08" w:rsidRPr="00337E58">
        <w:rPr>
          <w:bCs/>
          <w:iCs/>
        </w:rPr>
        <w:t>each</w:t>
      </w:r>
      <w:r w:rsidR="005D4F08" w:rsidRPr="00337E58">
        <w:t xml:space="preserve"> engine was in operation during each time. [40 C.F.R. § 60.4214(b)]  </w:t>
      </w:r>
    </w:p>
    <w:p w14:paraId="56D04101" w14:textId="77777777" w:rsidR="006E35A9" w:rsidRPr="00337E58" w:rsidRDefault="006E35A9" w:rsidP="006E35A9">
      <w:pPr>
        <w:jc w:val="left"/>
      </w:pPr>
    </w:p>
    <w:p w14:paraId="0E5AB8C7" w14:textId="77777777" w:rsidR="00E71C1E" w:rsidRPr="00337E58" w:rsidRDefault="00E71C1E" w:rsidP="00E71C1E">
      <w:pPr>
        <w:pStyle w:val="Heading4"/>
      </w:pPr>
      <w:r w:rsidRPr="00337E58">
        <w:t xml:space="preserve">National Emission Standards for Hazardous Air Pollutants (NESHAP): </w:t>
      </w:r>
    </w:p>
    <w:p w14:paraId="496F75F8" w14:textId="77777777" w:rsidR="00E71C1E" w:rsidRPr="00337E58" w:rsidRDefault="00E71C1E" w:rsidP="00E71C1E">
      <w:pPr>
        <w:ind w:left="1080"/>
        <w:jc w:val="left"/>
      </w:pPr>
      <w:r w:rsidRPr="00337E58">
        <w:t>40 C.F.R. Part 63, Subpart ZZZZ</w:t>
      </w:r>
    </w:p>
    <w:p w14:paraId="540D9677" w14:textId="77777777" w:rsidR="00E71C1E" w:rsidRPr="00337E58" w:rsidRDefault="00E71C1E" w:rsidP="006E35A9">
      <w:pPr>
        <w:jc w:val="left"/>
      </w:pPr>
    </w:p>
    <w:p w14:paraId="754429F0" w14:textId="77777777" w:rsidR="00E71C1E" w:rsidRPr="00337E58" w:rsidRDefault="00E71C1E" w:rsidP="00E71C1E">
      <w:pPr>
        <w:autoSpaceDE w:val="0"/>
        <w:autoSpaceDN w:val="0"/>
        <w:adjustRightInd w:val="0"/>
        <w:ind w:left="1080"/>
      </w:pPr>
      <w:r w:rsidRPr="00337E58">
        <w:t>Pursuant to 40 C.F.R. § 63.6590(c), stationary compression ignition engines subject to regulations under 40 C.F.R. Part 60, Subpart IIII must meet the requirements of Subpart ZZZZ by meeting the requirements of 40 C.F.R. Part 60, Subpart IIII. No further requirements apply for such engines under Subpart ZZZZ. [40 C.F.R. § 63.6590(c)]</w:t>
      </w:r>
    </w:p>
    <w:p w14:paraId="3ED6AB83" w14:textId="77777777" w:rsidR="00E71C1E" w:rsidRPr="00337E58" w:rsidRDefault="00E71C1E" w:rsidP="006E35A9">
      <w:pPr>
        <w:jc w:val="left"/>
      </w:pPr>
    </w:p>
    <w:p w14:paraId="747427AA" w14:textId="77777777" w:rsidR="007E3B85" w:rsidRPr="00337E58" w:rsidRDefault="007E3B85" w:rsidP="007E3B85">
      <w:pPr>
        <w:pStyle w:val="Heading3"/>
      </w:pPr>
      <w:r w:rsidRPr="00337E58">
        <w:t>General Process Emissions</w:t>
      </w:r>
    </w:p>
    <w:p w14:paraId="27229514" w14:textId="77777777" w:rsidR="007E3B85" w:rsidRPr="00337E58" w:rsidRDefault="007E3B85" w:rsidP="007E3B85">
      <w:pPr>
        <w:jc w:val="left"/>
      </w:pPr>
    </w:p>
    <w:p w14:paraId="74BDDE87" w14:textId="77777777" w:rsidR="007E3B85" w:rsidRPr="00337E58" w:rsidRDefault="007E3B85" w:rsidP="007E3B85">
      <w:pPr>
        <w:ind w:left="720"/>
      </w:pPr>
      <w:bookmarkStart w:id="1" w:name="_Hlk146786478"/>
      <w:r w:rsidRPr="00337E58">
        <w:t>Visible emissions from any general process source shall not exceed 20% opacity on a six</w:t>
      </w:r>
      <w:r w:rsidRPr="00337E58">
        <w:noBreakHyphen/>
        <w:t>minute block average basis.</w:t>
      </w:r>
    </w:p>
    <w:bookmarkEnd w:id="1"/>
    <w:p w14:paraId="0D4597BC" w14:textId="77777777" w:rsidR="007E3B85" w:rsidRPr="00337E58" w:rsidRDefault="007E3B85" w:rsidP="006E35A9">
      <w:pPr>
        <w:jc w:val="left"/>
      </w:pPr>
    </w:p>
    <w:p w14:paraId="41DAC6D6" w14:textId="77777777" w:rsidR="007E3B85" w:rsidRPr="00337E58" w:rsidRDefault="007E3B85" w:rsidP="007E3B85">
      <w:pPr>
        <w:pStyle w:val="Heading3"/>
      </w:pPr>
      <w:r w:rsidRPr="00337E58">
        <w:t>Fugitive Emissions</w:t>
      </w:r>
    </w:p>
    <w:p w14:paraId="010ADAC9" w14:textId="77777777" w:rsidR="007E3B85" w:rsidRPr="00337E58" w:rsidRDefault="007E3B85" w:rsidP="006E35A9">
      <w:pPr>
        <w:jc w:val="left"/>
      </w:pPr>
    </w:p>
    <w:p w14:paraId="1877F8BC" w14:textId="0B6F350A" w:rsidR="007E3B85" w:rsidRPr="00337E58" w:rsidRDefault="00251E40"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ind w:left="720"/>
      </w:pPr>
      <w:bookmarkStart w:id="2" w:name="_Hlk146786548"/>
      <w:r w:rsidRPr="00337E58">
        <w:t>NSAPH</w:t>
      </w:r>
      <w:r w:rsidR="007E3B85" w:rsidRPr="00337E58">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06-096 C.M.R. ch. 101, § 4(C) for a list of potential reasonable precautions.</w:t>
      </w:r>
    </w:p>
    <w:p w14:paraId="4D8E021D" w14:textId="77777777" w:rsidR="007E3B85" w:rsidRPr="00337E58" w:rsidRDefault="007E3B8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pPr>
    </w:p>
    <w:p w14:paraId="35E1EF48" w14:textId="0BBD226E" w:rsidR="00C5754E" w:rsidRPr="00337E58" w:rsidRDefault="00251E40" w:rsidP="00337E58">
      <w:pPr>
        <w:ind w:left="720"/>
      </w:pPr>
      <w:r w:rsidRPr="00337E58">
        <w:t>NSAPH</w:t>
      </w:r>
      <w:r w:rsidR="007E3B85" w:rsidRPr="00337E58">
        <w:t xml:space="preserve"> shall not cause or allow visible emissions within 20 feet of ground level, measured as any level of opacity and not including water vapor, beyond the legal boundary of the </w:t>
      </w:r>
      <w:r w:rsidR="007E3B85" w:rsidRPr="00337E58">
        <w:lastRenderedPageBreak/>
        <w:t xml:space="preserve">property on which such emissions occur. Compliance with this standard shall be determined pursuant to </w:t>
      </w:r>
      <w:r w:rsidR="007E3B85" w:rsidRPr="00337E58">
        <w:rPr>
          <w:bCs/>
        </w:rPr>
        <w:t>40 C.F.R. Part 60, Appendix A, Method 22.</w:t>
      </w:r>
      <w:bookmarkEnd w:id="2"/>
    </w:p>
    <w:p w14:paraId="0C6B18E0" w14:textId="77777777" w:rsidR="00337E58" w:rsidRPr="00337E58" w:rsidRDefault="00337E58">
      <w:pPr>
        <w:jc w:val="left"/>
        <w:rPr>
          <w:u w:val="single"/>
        </w:rPr>
      </w:pPr>
      <w:r w:rsidRPr="00337E58">
        <w:br w:type="page"/>
      </w:r>
    </w:p>
    <w:p w14:paraId="59DC4C4D" w14:textId="00DF2A6C" w:rsidR="00CA3CAA" w:rsidRPr="00337E58" w:rsidRDefault="00CA3CAA" w:rsidP="00CA3CAA">
      <w:pPr>
        <w:pStyle w:val="Heading3"/>
      </w:pPr>
      <w:r w:rsidRPr="00337E58">
        <w:lastRenderedPageBreak/>
        <w:t>Annual Emissions</w:t>
      </w:r>
    </w:p>
    <w:p w14:paraId="0F53089A" w14:textId="77777777" w:rsidR="00CA3CAA" w:rsidRPr="00337E58" w:rsidRDefault="00CA3CAA" w:rsidP="00D579E4">
      <w:pPr>
        <w:tabs>
          <w:tab w:val="left" w:pos="720"/>
          <w:tab w:val="left" w:pos="1080"/>
        </w:tabs>
      </w:pPr>
    </w:p>
    <w:p w14:paraId="2047C52F" w14:textId="112D2507" w:rsidR="00CA3CAA" w:rsidRPr="00337E58" w:rsidRDefault="00CA3CAA" w:rsidP="00D579E4">
      <w:pPr>
        <w:ind w:left="720"/>
      </w:pPr>
      <w:r w:rsidRPr="00337E58">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w:t>
      </w:r>
      <w:r w:rsidR="00D579E4" w:rsidRPr="00337E58">
        <w:t>o</w:t>
      </w:r>
      <w:r w:rsidRPr="00337E58">
        <w:t xml:space="preserve">perating </w:t>
      </w:r>
      <w:r w:rsidR="00D579E4" w:rsidRPr="00337E58">
        <w:t>GEN #102-01 and GEN #102-02</w:t>
      </w:r>
      <w:r w:rsidRPr="00337E58">
        <w:t xml:space="preserve"> for 100</w:t>
      </w:r>
      <w:r w:rsidR="00D579E4" w:rsidRPr="00337E58">
        <w:t> </w:t>
      </w:r>
      <w:r w:rsidRPr="00337E58">
        <w:t xml:space="preserve">hrs/yr </w:t>
      </w:r>
      <w:r w:rsidR="00D579E4" w:rsidRPr="00337E58">
        <w:t xml:space="preserve">each </w:t>
      </w:r>
      <w:r w:rsidRPr="00337E58">
        <w:t xml:space="preserve">of non-emergency </w:t>
      </w:r>
      <w:proofErr w:type="gramStart"/>
      <w:r w:rsidRPr="00337E58">
        <w:t>operation</w:t>
      </w:r>
      <w:proofErr w:type="gramEnd"/>
      <w:r w:rsidR="00D579E4" w:rsidRPr="00337E58">
        <w:t>.</w:t>
      </w:r>
    </w:p>
    <w:p w14:paraId="5DCAF9EB" w14:textId="77777777" w:rsidR="00CA3CAA" w:rsidRPr="00337E58" w:rsidRDefault="00CA3CAA" w:rsidP="00CA3CAA">
      <w:pPr>
        <w:ind w:left="360"/>
      </w:pPr>
    </w:p>
    <w:p w14:paraId="4EE29951" w14:textId="77777777" w:rsidR="00CA3CAA" w:rsidRPr="00337E58" w:rsidRDefault="00CA3CAA" w:rsidP="00CA3CAA">
      <w:pPr>
        <w:pStyle w:val="BodyTextIndent3"/>
        <w:spacing w:after="0"/>
        <w:ind w:left="720"/>
        <w:rPr>
          <w:sz w:val="24"/>
          <w:szCs w:val="24"/>
        </w:rPr>
      </w:pPr>
      <w:r w:rsidRPr="00337E58">
        <w:rPr>
          <w:sz w:val="24"/>
          <w:szCs w:val="24"/>
        </w:rPr>
        <w:t xml:space="preserve">This information does not represent a comprehensive list of license restrictions or permissions. That information is provided in the Order section of this license. </w:t>
      </w:r>
    </w:p>
    <w:p w14:paraId="0B334565" w14:textId="77777777" w:rsidR="00CA3CAA" w:rsidRPr="00337E58" w:rsidRDefault="00CA3CAA" w:rsidP="006E35A9">
      <w:pPr>
        <w:jc w:val="left"/>
      </w:pPr>
    </w:p>
    <w:p w14:paraId="48F9EE5C" w14:textId="77777777" w:rsidR="00CA3CAA" w:rsidRPr="00337E58" w:rsidRDefault="00CA3CAA" w:rsidP="00CA3CAA">
      <w:pPr>
        <w:jc w:val="center"/>
        <w:rPr>
          <w:b/>
        </w:rPr>
      </w:pPr>
      <w:r w:rsidRPr="00337E58">
        <w:rPr>
          <w:b/>
        </w:rPr>
        <w:t>Total Licensed Annual Emissions for the Facility</w:t>
      </w:r>
    </w:p>
    <w:p w14:paraId="373A21E1" w14:textId="77777777" w:rsidR="00CA3CAA" w:rsidRPr="00337E58" w:rsidRDefault="00CA3CAA" w:rsidP="00CA3CAA">
      <w:pPr>
        <w:jc w:val="center"/>
        <w:rPr>
          <w:b/>
        </w:rPr>
      </w:pPr>
      <w:r w:rsidRPr="00337E58">
        <w:rPr>
          <w:b/>
        </w:rPr>
        <w:t>Tons/year</w:t>
      </w:r>
    </w:p>
    <w:p w14:paraId="4C328224" w14:textId="77777777" w:rsidR="00CA3CAA" w:rsidRPr="00337E58" w:rsidRDefault="00CA3CAA" w:rsidP="00CA3CAA">
      <w:pPr>
        <w:jc w:val="center"/>
      </w:pPr>
      <w:r w:rsidRPr="00337E58">
        <w:t>(used to calculate the annual license fee)</w:t>
      </w:r>
    </w:p>
    <w:p w14:paraId="48B76AE8" w14:textId="77777777" w:rsidR="00CA3CAA" w:rsidRPr="00337E58"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145"/>
        <w:gridCol w:w="945"/>
        <w:gridCol w:w="945"/>
        <w:gridCol w:w="945"/>
        <w:gridCol w:w="945"/>
        <w:gridCol w:w="945"/>
        <w:gridCol w:w="945"/>
        <w:gridCol w:w="945"/>
      </w:tblGrid>
      <w:tr w:rsidR="00CA3CAA" w:rsidRPr="00337E58" w14:paraId="234A8A86" w14:textId="77777777" w:rsidTr="00CA3CAA">
        <w:trPr>
          <w:trHeight w:val="56"/>
          <w:tblHeader/>
          <w:jc w:val="center"/>
        </w:trPr>
        <w:tc>
          <w:tcPr>
            <w:tcW w:w="2145" w:type="dxa"/>
            <w:shd w:val="clear" w:color="auto" w:fill="D9D9D9" w:themeFill="background1" w:themeFillShade="D9"/>
            <w:vAlign w:val="bottom"/>
          </w:tcPr>
          <w:p w14:paraId="3F8D193A"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u w:val="single"/>
              </w:rPr>
            </w:pPr>
          </w:p>
        </w:tc>
        <w:tc>
          <w:tcPr>
            <w:tcW w:w="945" w:type="dxa"/>
            <w:shd w:val="clear" w:color="auto" w:fill="D9D9D9" w:themeFill="background1" w:themeFillShade="D9"/>
            <w:vAlign w:val="bottom"/>
          </w:tcPr>
          <w:p w14:paraId="230DA2D5"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PM</w:t>
            </w:r>
          </w:p>
        </w:tc>
        <w:tc>
          <w:tcPr>
            <w:tcW w:w="945" w:type="dxa"/>
            <w:shd w:val="clear" w:color="auto" w:fill="D9D9D9" w:themeFill="background1" w:themeFillShade="D9"/>
            <w:vAlign w:val="bottom"/>
          </w:tcPr>
          <w:p w14:paraId="5D2C9A45"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vertAlign w:val="subscript"/>
              </w:rPr>
            </w:pPr>
            <w:r w:rsidRPr="00337E58">
              <w:rPr>
                <w:b/>
              </w:rPr>
              <w:t>PM</w:t>
            </w:r>
            <w:r w:rsidRPr="00337E58">
              <w:rPr>
                <w:b/>
                <w:vertAlign w:val="subscript"/>
              </w:rPr>
              <w:t>10</w:t>
            </w:r>
          </w:p>
        </w:tc>
        <w:tc>
          <w:tcPr>
            <w:tcW w:w="945" w:type="dxa"/>
            <w:shd w:val="clear" w:color="auto" w:fill="D9D9D9" w:themeFill="background1" w:themeFillShade="D9"/>
            <w:vAlign w:val="bottom"/>
          </w:tcPr>
          <w:p w14:paraId="1327418E"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PM</w:t>
            </w:r>
            <w:r w:rsidRPr="00337E58">
              <w:rPr>
                <w:b/>
                <w:vertAlign w:val="subscript"/>
              </w:rPr>
              <w:t>2.5</w:t>
            </w:r>
          </w:p>
        </w:tc>
        <w:tc>
          <w:tcPr>
            <w:tcW w:w="945" w:type="dxa"/>
            <w:shd w:val="clear" w:color="auto" w:fill="D9D9D9" w:themeFill="background1" w:themeFillShade="D9"/>
            <w:vAlign w:val="bottom"/>
          </w:tcPr>
          <w:p w14:paraId="640A9B0F"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vertAlign w:val="subscript"/>
              </w:rPr>
            </w:pPr>
            <w:r w:rsidRPr="00337E58">
              <w:rPr>
                <w:b/>
              </w:rPr>
              <w:t>SO</w:t>
            </w:r>
            <w:r w:rsidRPr="00337E58">
              <w:rPr>
                <w:b/>
                <w:vertAlign w:val="subscript"/>
              </w:rPr>
              <w:t>2</w:t>
            </w:r>
          </w:p>
        </w:tc>
        <w:tc>
          <w:tcPr>
            <w:tcW w:w="945" w:type="dxa"/>
            <w:shd w:val="clear" w:color="auto" w:fill="D9D9D9" w:themeFill="background1" w:themeFillShade="D9"/>
            <w:vAlign w:val="bottom"/>
          </w:tcPr>
          <w:p w14:paraId="05EB6A51"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vertAlign w:val="subscript"/>
              </w:rPr>
            </w:pPr>
            <w:r w:rsidRPr="00337E58">
              <w:rPr>
                <w:b/>
              </w:rPr>
              <w:t>NO</w:t>
            </w:r>
            <w:r w:rsidRPr="00337E58">
              <w:rPr>
                <w:b/>
                <w:vertAlign w:val="subscript"/>
              </w:rPr>
              <w:t>x</w:t>
            </w:r>
          </w:p>
        </w:tc>
        <w:tc>
          <w:tcPr>
            <w:tcW w:w="945" w:type="dxa"/>
            <w:shd w:val="clear" w:color="auto" w:fill="D9D9D9" w:themeFill="background1" w:themeFillShade="D9"/>
            <w:vAlign w:val="bottom"/>
          </w:tcPr>
          <w:p w14:paraId="335A4D10"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CO</w:t>
            </w:r>
          </w:p>
        </w:tc>
        <w:tc>
          <w:tcPr>
            <w:tcW w:w="945" w:type="dxa"/>
            <w:shd w:val="clear" w:color="auto" w:fill="D9D9D9" w:themeFill="background1" w:themeFillShade="D9"/>
            <w:vAlign w:val="bottom"/>
          </w:tcPr>
          <w:p w14:paraId="2A4B3C06"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VOC</w:t>
            </w:r>
          </w:p>
        </w:tc>
      </w:tr>
      <w:tr w:rsidR="00CA3CAA" w:rsidRPr="00337E58" w14:paraId="5C14458B" w14:textId="77777777" w:rsidTr="00CA3CAA">
        <w:trPr>
          <w:trHeight w:val="285"/>
          <w:jc w:val="center"/>
        </w:trPr>
        <w:tc>
          <w:tcPr>
            <w:tcW w:w="2145" w:type="dxa"/>
            <w:vAlign w:val="center"/>
          </w:tcPr>
          <w:p w14:paraId="7DB0F012" w14:textId="3B7537C4" w:rsidR="00CA3CAA" w:rsidRPr="00337E58" w:rsidRDefault="0073311E" w:rsidP="00C17C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pPr>
            <w:r w:rsidRPr="00337E58">
              <w:t>GEN #102-01</w:t>
            </w:r>
            <w:r w:rsidR="00C17C5D" w:rsidRPr="00337E58">
              <w:t xml:space="preserve"> &amp; GEN #102-02</w:t>
            </w:r>
          </w:p>
        </w:tc>
        <w:tc>
          <w:tcPr>
            <w:tcW w:w="945" w:type="dxa"/>
            <w:vAlign w:val="center"/>
          </w:tcPr>
          <w:p w14:paraId="07F6E7FD" w14:textId="7F24C1FD"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0.1</w:t>
            </w:r>
          </w:p>
        </w:tc>
        <w:tc>
          <w:tcPr>
            <w:tcW w:w="945" w:type="dxa"/>
            <w:vAlign w:val="center"/>
          </w:tcPr>
          <w:p w14:paraId="262E9BB8" w14:textId="6B197974"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0.1</w:t>
            </w:r>
          </w:p>
        </w:tc>
        <w:tc>
          <w:tcPr>
            <w:tcW w:w="945" w:type="dxa"/>
            <w:vAlign w:val="center"/>
          </w:tcPr>
          <w:p w14:paraId="6518AE45" w14:textId="075C31EA"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0.1</w:t>
            </w:r>
          </w:p>
        </w:tc>
        <w:tc>
          <w:tcPr>
            <w:tcW w:w="945" w:type="dxa"/>
            <w:vAlign w:val="center"/>
          </w:tcPr>
          <w:p w14:paraId="7EE27164" w14:textId="5EAA6E5E"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w:t>
            </w:r>
          </w:p>
        </w:tc>
        <w:tc>
          <w:tcPr>
            <w:tcW w:w="945" w:type="dxa"/>
            <w:vAlign w:val="center"/>
          </w:tcPr>
          <w:p w14:paraId="502511D9" w14:textId="5FE11BC7"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1.4</w:t>
            </w:r>
          </w:p>
        </w:tc>
        <w:tc>
          <w:tcPr>
            <w:tcW w:w="945" w:type="dxa"/>
            <w:vAlign w:val="center"/>
          </w:tcPr>
          <w:p w14:paraId="392A89E0" w14:textId="64E5B635"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0.3</w:t>
            </w:r>
          </w:p>
        </w:tc>
        <w:tc>
          <w:tcPr>
            <w:tcW w:w="945" w:type="dxa"/>
            <w:vAlign w:val="center"/>
          </w:tcPr>
          <w:p w14:paraId="2FF81A43" w14:textId="1CF325B5" w:rsidR="00CA3CAA" w:rsidRPr="00337E58" w:rsidRDefault="00C17C5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pPr>
            <w:r w:rsidRPr="00337E58">
              <w:t>0.1</w:t>
            </w:r>
          </w:p>
        </w:tc>
      </w:tr>
      <w:tr w:rsidR="00CA3CAA" w:rsidRPr="00337E58" w14:paraId="0AA6D194" w14:textId="77777777" w:rsidTr="00CA3CAA">
        <w:trPr>
          <w:trHeight w:val="285"/>
          <w:jc w:val="center"/>
        </w:trPr>
        <w:tc>
          <w:tcPr>
            <w:tcW w:w="2145" w:type="dxa"/>
            <w:tcBorders>
              <w:top w:val="single" w:sz="12" w:space="0" w:color="auto"/>
              <w:bottom w:val="double" w:sz="4" w:space="0" w:color="auto"/>
            </w:tcBorders>
          </w:tcPr>
          <w:p w14:paraId="46B223CC" w14:textId="77777777" w:rsidR="00CA3CAA" w:rsidRPr="00337E58"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Total TPY</w:t>
            </w:r>
          </w:p>
        </w:tc>
        <w:tc>
          <w:tcPr>
            <w:tcW w:w="945" w:type="dxa"/>
            <w:tcBorders>
              <w:top w:val="single" w:sz="12" w:space="0" w:color="auto"/>
              <w:bottom w:val="double" w:sz="4" w:space="0" w:color="auto"/>
            </w:tcBorders>
            <w:vAlign w:val="center"/>
          </w:tcPr>
          <w:p w14:paraId="3B142C77" w14:textId="150217C8"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0.1</w:t>
            </w:r>
          </w:p>
        </w:tc>
        <w:tc>
          <w:tcPr>
            <w:tcW w:w="945" w:type="dxa"/>
            <w:tcBorders>
              <w:top w:val="single" w:sz="12" w:space="0" w:color="auto"/>
              <w:bottom w:val="double" w:sz="4" w:space="0" w:color="auto"/>
            </w:tcBorders>
            <w:vAlign w:val="center"/>
          </w:tcPr>
          <w:p w14:paraId="0FFAA587" w14:textId="6181853D"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0.1</w:t>
            </w:r>
          </w:p>
        </w:tc>
        <w:tc>
          <w:tcPr>
            <w:tcW w:w="945" w:type="dxa"/>
            <w:tcBorders>
              <w:top w:val="single" w:sz="12" w:space="0" w:color="auto"/>
              <w:bottom w:val="double" w:sz="4" w:space="0" w:color="auto"/>
            </w:tcBorders>
            <w:vAlign w:val="center"/>
          </w:tcPr>
          <w:p w14:paraId="1DACECC9" w14:textId="0E921F73"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0.1</w:t>
            </w:r>
          </w:p>
        </w:tc>
        <w:tc>
          <w:tcPr>
            <w:tcW w:w="945" w:type="dxa"/>
            <w:tcBorders>
              <w:top w:val="single" w:sz="12" w:space="0" w:color="auto"/>
              <w:bottom w:val="double" w:sz="4" w:space="0" w:color="auto"/>
            </w:tcBorders>
            <w:vAlign w:val="center"/>
          </w:tcPr>
          <w:p w14:paraId="0E048C1A" w14:textId="2CB28A20"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w:t>
            </w:r>
          </w:p>
        </w:tc>
        <w:tc>
          <w:tcPr>
            <w:tcW w:w="945" w:type="dxa"/>
            <w:tcBorders>
              <w:top w:val="single" w:sz="12" w:space="0" w:color="auto"/>
              <w:bottom w:val="double" w:sz="4" w:space="0" w:color="auto"/>
            </w:tcBorders>
            <w:vAlign w:val="center"/>
          </w:tcPr>
          <w:p w14:paraId="5F7F73F2" w14:textId="2EE97D15"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1.4</w:t>
            </w:r>
          </w:p>
        </w:tc>
        <w:tc>
          <w:tcPr>
            <w:tcW w:w="945" w:type="dxa"/>
            <w:tcBorders>
              <w:top w:val="single" w:sz="12" w:space="0" w:color="auto"/>
              <w:bottom w:val="double" w:sz="4" w:space="0" w:color="auto"/>
            </w:tcBorders>
            <w:vAlign w:val="center"/>
          </w:tcPr>
          <w:p w14:paraId="378FF517" w14:textId="5C80D942"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0.3</w:t>
            </w:r>
          </w:p>
        </w:tc>
        <w:tc>
          <w:tcPr>
            <w:tcW w:w="945" w:type="dxa"/>
            <w:tcBorders>
              <w:top w:val="single" w:sz="12" w:space="0" w:color="auto"/>
              <w:bottom w:val="double" w:sz="4" w:space="0" w:color="auto"/>
            </w:tcBorders>
            <w:vAlign w:val="center"/>
          </w:tcPr>
          <w:p w14:paraId="28BA3598" w14:textId="696AC77A" w:rsidR="00CA3CAA" w:rsidRPr="00337E58" w:rsidRDefault="00C5754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rPr>
            </w:pPr>
            <w:r w:rsidRPr="00337E58">
              <w:rPr>
                <w:b/>
              </w:rPr>
              <w:t>0.1</w:t>
            </w:r>
          </w:p>
        </w:tc>
      </w:tr>
    </w:tbl>
    <w:p w14:paraId="3CC2C793" w14:textId="77777777" w:rsidR="00CA3CAA" w:rsidRPr="00337E58" w:rsidRDefault="00CA3CAA" w:rsidP="00CA3CAA">
      <w:pPr>
        <w:pStyle w:val="BodyTextIndent3"/>
        <w:tabs>
          <w:tab w:val="left" w:pos="1080"/>
          <w:tab w:val="left" w:pos="1440"/>
          <w:tab w:val="left" w:pos="1800"/>
        </w:tabs>
        <w:ind w:left="0"/>
        <w:rPr>
          <w:sz w:val="24"/>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337E58" w14:paraId="76ADD0C3" w14:textId="77777777" w:rsidTr="00CA3CAA">
        <w:trPr>
          <w:cantSplit/>
          <w:tblHeader/>
        </w:trPr>
        <w:tc>
          <w:tcPr>
            <w:tcW w:w="1872" w:type="dxa"/>
            <w:shd w:val="clear" w:color="auto" w:fill="D9D9D9" w:themeFill="background1" w:themeFillShade="D9"/>
          </w:tcPr>
          <w:p w14:paraId="176F1DB5"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rPr>
            </w:pPr>
            <w:r w:rsidRPr="00337E58">
              <w:rPr>
                <w:b/>
              </w:rPr>
              <w:t>Pollutant</w:t>
            </w:r>
          </w:p>
        </w:tc>
        <w:tc>
          <w:tcPr>
            <w:tcW w:w="1971" w:type="dxa"/>
            <w:shd w:val="clear" w:color="auto" w:fill="D9D9D9" w:themeFill="background1" w:themeFillShade="D9"/>
          </w:tcPr>
          <w:p w14:paraId="1CD37149"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rPr>
            </w:pPr>
            <w:r w:rsidRPr="00337E58">
              <w:rPr>
                <w:b/>
              </w:rPr>
              <w:t>Tons/year</w:t>
            </w:r>
          </w:p>
        </w:tc>
      </w:tr>
      <w:tr w:rsidR="00CA3CAA" w:rsidRPr="00337E58" w14:paraId="26707E4C" w14:textId="77777777" w:rsidTr="00CA3CAA">
        <w:trPr>
          <w:cantSplit/>
        </w:trPr>
        <w:tc>
          <w:tcPr>
            <w:tcW w:w="1872" w:type="dxa"/>
          </w:tcPr>
          <w:p w14:paraId="052EC17A"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pPr>
            <w:r w:rsidRPr="00337E58">
              <w:t>Single HAP</w:t>
            </w:r>
          </w:p>
        </w:tc>
        <w:tc>
          <w:tcPr>
            <w:tcW w:w="1971" w:type="dxa"/>
          </w:tcPr>
          <w:p w14:paraId="6DC129E1"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pPr>
            <w:r w:rsidRPr="00337E58">
              <w:t>7.9</w:t>
            </w:r>
          </w:p>
        </w:tc>
      </w:tr>
      <w:tr w:rsidR="00CA3CAA" w:rsidRPr="00337E58" w14:paraId="4F404528" w14:textId="77777777" w:rsidTr="00CA3CAA">
        <w:trPr>
          <w:cantSplit/>
        </w:trPr>
        <w:tc>
          <w:tcPr>
            <w:tcW w:w="1872" w:type="dxa"/>
          </w:tcPr>
          <w:p w14:paraId="44A9F044"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pPr>
            <w:r w:rsidRPr="00337E58">
              <w:t>Total HAP</w:t>
            </w:r>
          </w:p>
        </w:tc>
        <w:tc>
          <w:tcPr>
            <w:tcW w:w="1971" w:type="dxa"/>
          </w:tcPr>
          <w:p w14:paraId="4673458E" w14:textId="77777777" w:rsidR="00CA3CAA" w:rsidRPr="00337E58"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pPr>
            <w:r w:rsidRPr="00337E58">
              <w:t>19.9</w:t>
            </w:r>
          </w:p>
        </w:tc>
      </w:tr>
    </w:tbl>
    <w:p w14:paraId="6E30B27E" w14:textId="77777777" w:rsidR="00CA3CAA" w:rsidRPr="00337E58" w:rsidRDefault="00CA3CAA" w:rsidP="006E35A9">
      <w:pPr>
        <w:jc w:val="left"/>
      </w:pPr>
    </w:p>
    <w:p w14:paraId="56473B73" w14:textId="035DB40B" w:rsidR="00CA3CAA" w:rsidRPr="00337E58" w:rsidRDefault="00CA3CAA" w:rsidP="00CD3591">
      <w:pPr>
        <w:pStyle w:val="Heading2"/>
      </w:pPr>
      <w:r w:rsidRPr="00337E58">
        <w:t>AMBIENT AIR QUALITY ANALYSIS</w:t>
      </w:r>
    </w:p>
    <w:p w14:paraId="05C07D6D" w14:textId="77777777" w:rsidR="00CA3CAA" w:rsidRPr="00337E58" w:rsidRDefault="00CA3CAA" w:rsidP="00CA3CAA">
      <w:pPr>
        <w:tabs>
          <w:tab w:val="left" w:pos="360"/>
        </w:tabs>
        <w:ind w:left="360"/>
      </w:pPr>
    </w:p>
    <w:p w14:paraId="44987F7C" w14:textId="77777777" w:rsidR="00CA3CAA" w:rsidRPr="00337E58" w:rsidRDefault="00CA3CAA" w:rsidP="00E43CB6">
      <w:pPr>
        <w:ind w:left="360"/>
      </w:pPr>
      <w:r w:rsidRPr="00337E58">
        <w:t>The level of ambient air quality impact modeling required for a minor source is determined by the Department on a case-by-case basis. In accordance with 06</w:t>
      </w:r>
      <w:r w:rsidRPr="00337E58">
        <w:noBreakHyphen/>
        <w:t>096 C.M.R. ch. 115, an ambient air quality impact analysis is not required for a minor source if the total licensed annual emissions of any pollutant released do not exceed the following levels and there are no extenuating circumstances:</w:t>
      </w:r>
    </w:p>
    <w:p w14:paraId="295F9D6D" w14:textId="77777777" w:rsidR="00CA3CAA" w:rsidRPr="00337E58" w:rsidRDefault="00CA3CAA" w:rsidP="00CA3CAA">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rsidRPr="00337E58" w14:paraId="2D05AC43" w14:textId="77777777" w:rsidTr="00CA3CAA">
        <w:trPr>
          <w:trHeight w:val="36"/>
          <w:tblHeader/>
          <w:jc w:val="center"/>
        </w:trPr>
        <w:tc>
          <w:tcPr>
            <w:tcW w:w="1440" w:type="dxa"/>
            <w:shd w:val="clear" w:color="auto" w:fill="D9D9D9" w:themeFill="background1" w:themeFillShade="D9"/>
            <w:vAlign w:val="bottom"/>
          </w:tcPr>
          <w:p w14:paraId="54272F38" w14:textId="77777777" w:rsidR="00CA3CAA" w:rsidRPr="00337E58" w:rsidRDefault="00CA3CAA" w:rsidP="00CA3CAA">
            <w:pPr>
              <w:pStyle w:val="BodyTextIndent"/>
              <w:spacing w:after="0"/>
              <w:ind w:left="0"/>
              <w:jc w:val="center"/>
              <w:rPr>
                <w:b/>
              </w:rPr>
            </w:pPr>
            <w:r w:rsidRPr="00337E58">
              <w:rPr>
                <w:b/>
              </w:rPr>
              <w:t>Pollutant</w:t>
            </w:r>
          </w:p>
        </w:tc>
        <w:tc>
          <w:tcPr>
            <w:tcW w:w="1305" w:type="dxa"/>
            <w:shd w:val="clear" w:color="auto" w:fill="D9D9D9" w:themeFill="background1" w:themeFillShade="D9"/>
            <w:vAlign w:val="bottom"/>
          </w:tcPr>
          <w:p w14:paraId="7E4B6243" w14:textId="77777777" w:rsidR="00CA3CAA" w:rsidRPr="00337E58" w:rsidRDefault="00CA3CAA" w:rsidP="00CA3CAA">
            <w:pPr>
              <w:pStyle w:val="BodyTextIndent"/>
              <w:spacing w:after="0"/>
              <w:ind w:left="0"/>
              <w:jc w:val="center"/>
              <w:rPr>
                <w:b/>
              </w:rPr>
            </w:pPr>
            <w:r w:rsidRPr="00337E58">
              <w:rPr>
                <w:b/>
              </w:rPr>
              <w:t>Tons/Year</w:t>
            </w:r>
          </w:p>
        </w:tc>
      </w:tr>
      <w:tr w:rsidR="00CA3CAA" w:rsidRPr="00337E58" w14:paraId="72A822FA" w14:textId="77777777" w:rsidTr="00CA3CAA">
        <w:trPr>
          <w:jc w:val="center"/>
        </w:trPr>
        <w:tc>
          <w:tcPr>
            <w:tcW w:w="1440" w:type="dxa"/>
          </w:tcPr>
          <w:p w14:paraId="4DAE4CFF" w14:textId="77777777" w:rsidR="00CA3CAA" w:rsidRPr="00337E58" w:rsidRDefault="00CA3CAA" w:rsidP="00CA3CAA">
            <w:pPr>
              <w:pStyle w:val="BodyTextIndent"/>
              <w:spacing w:after="0"/>
              <w:ind w:left="0"/>
              <w:jc w:val="center"/>
            </w:pPr>
            <w:r w:rsidRPr="00337E58">
              <w:t xml:space="preserve">   PM</w:t>
            </w:r>
            <w:r w:rsidRPr="00337E58">
              <w:rPr>
                <w:vertAlign w:val="subscript"/>
              </w:rPr>
              <w:t>10</w:t>
            </w:r>
          </w:p>
        </w:tc>
        <w:tc>
          <w:tcPr>
            <w:tcW w:w="1305" w:type="dxa"/>
            <w:vAlign w:val="center"/>
          </w:tcPr>
          <w:p w14:paraId="32CCB77E" w14:textId="77777777" w:rsidR="00CA3CAA" w:rsidRPr="00337E58" w:rsidRDefault="00CA3CAA" w:rsidP="00CA3CAA">
            <w:pPr>
              <w:pStyle w:val="BodyTextIndent"/>
              <w:tabs>
                <w:tab w:val="left" w:pos="725"/>
              </w:tabs>
              <w:spacing w:after="0"/>
              <w:ind w:left="0" w:right="364"/>
              <w:jc w:val="right"/>
            </w:pPr>
            <w:r w:rsidRPr="00337E58">
              <w:t>25</w:t>
            </w:r>
          </w:p>
        </w:tc>
      </w:tr>
      <w:tr w:rsidR="00CA3CAA" w:rsidRPr="00337E58" w14:paraId="7D6DDF8A" w14:textId="77777777" w:rsidTr="00CA3CAA">
        <w:trPr>
          <w:jc w:val="center"/>
        </w:trPr>
        <w:tc>
          <w:tcPr>
            <w:tcW w:w="1440" w:type="dxa"/>
          </w:tcPr>
          <w:p w14:paraId="3752D897" w14:textId="77777777" w:rsidR="00CA3CAA" w:rsidRPr="00337E58" w:rsidRDefault="00CA3CAA" w:rsidP="00CA3CAA">
            <w:pPr>
              <w:pStyle w:val="BodyTextIndent"/>
              <w:spacing w:after="0"/>
              <w:ind w:left="0"/>
              <w:jc w:val="center"/>
            </w:pPr>
            <w:r w:rsidRPr="00337E58">
              <w:t>PM</w:t>
            </w:r>
            <w:r w:rsidRPr="00337E58">
              <w:rPr>
                <w:vertAlign w:val="subscript"/>
              </w:rPr>
              <w:t>2.5</w:t>
            </w:r>
          </w:p>
        </w:tc>
        <w:tc>
          <w:tcPr>
            <w:tcW w:w="1305" w:type="dxa"/>
            <w:vAlign w:val="center"/>
          </w:tcPr>
          <w:p w14:paraId="004BF7CB" w14:textId="77777777" w:rsidR="00CA3CAA" w:rsidRPr="00337E58" w:rsidRDefault="00CA3CAA" w:rsidP="00CA3CAA">
            <w:pPr>
              <w:pStyle w:val="BodyTextIndent"/>
              <w:tabs>
                <w:tab w:val="left" w:pos="725"/>
              </w:tabs>
              <w:spacing w:after="0"/>
              <w:ind w:left="0" w:right="364"/>
              <w:jc w:val="right"/>
            </w:pPr>
            <w:r w:rsidRPr="00337E58">
              <w:t>15</w:t>
            </w:r>
          </w:p>
        </w:tc>
      </w:tr>
      <w:tr w:rsidR="00CA3CAA" w:rsidRPr="00337E58" w14:paraId="111F0C3A" w14:textId="77777777" w:rsidTr="00CA3CAA">
        <w:trPr>
          <w:jc w:val="center"/>
        </w:trPr>
        <w:tc>
          <w:tcPr>
            <w:tcW w:w="1440" w:type="dxa"/>
          </w:tcPr>
          <w:p w14:paraId="7B25A532" w14:textId="77777777" w:rsidR="00CA3CAA" w:rsidRPr="00337E58" w:rsidRDefault="00CA3CAA" w:rsidP="00CA3CAA">
            <w:pPr>
              <w:pStyle w:val="BodyTextIndent"/>
              <w:spacing w:after="0"/>
              <w:ind w:left="0"/>
              <w:jc w:val="center"/>
            </w:pPr>
            <w:r w:rsidRPr="00337E58">
              <w:t xml:space="preserve"> SO</w:t>
            </w:r>
            <w:r w:rsidRPr="00337E58">
              <w:rPr>
                <w:vertAlign w:val="subscript"/>
              </w:rPr>
              <w:t>2</w:t>
            </w:r>
          </w:p>
        </w:tc>
        <w:tc>
          <w:tcPr>
            <w:tcW w:w="1305" w:type="dxa"/>
            <w:vAlign w:val="center"/>
          </w:tcPr>
          <w:p w14:paraId="6E3F6553" w14:textId="77777777" w:rsidR="00CA3CAA" w:rsidRPr="00337E58" w:rsidRDefault="00CA3CAA" w:rsidP="00CA3CAA">
            <w:pPr>
              <w:pStyle w:val="BodyTextIndent"/>
              <w:tabs>
                <w:tab w:val="left" w:pos="725"/>
              </w:tabs>
              <w:spacing w:after="0"/>
              <w:ind w:left="0" w:right="364"/>
              <w:jc w:val="right"/>
            </w:pPr>
            <w:r w:rsidRPr="00337E58">
              <w:t>50</w:t>
            </w:r>
          </w:p>
        </w:tc>
      </w:tr>
      <w:tr w:rsidR="00CA3CAA" w:rsidRPr="00337E58" w14:paraId="0C0F0B17" w14:textId="77777777" w:rsidTr="00CA3CAA">
        <w:trPr>
          <w:jc w:val="center"/>
        </w:trPr>
        <w:tc>
          <w:tcPr>
            <w:tcW w:w="1440" w:type="dxa"/>
          </w:tcPr>
          <w:p w14:paraId="6F24D646" w14:textId="77777777" w:rsidR="00CA3CAA" w:rsidRPr="00337E58" w:rsidRDefault="00CA3CAA" w:rsidP="00CA3CAA">
            <w:pPr>
              <w:pStyle w:val="BodyTextIndent"/>
              <w:spacing w:after="0"/>
              <w:ind w:left="0"/>
              <w:jc w:val="center"/>
            </w:pPr>
            <w:r w:rsidRPr="00337E58">
              <w:t xml:space="preserve"> NO</w:t>
            </w:r>
            <w:r w:rsidRPr="00337E58">
              <w:rPr>
                <w:vertAlign w:val="subscript"/>
              </w:rPr>
              <w:t>x</w:t>
            </w:r>
          </w:p>
        </w:tc>
        <w:tc>
          <w:tcPr>
            <w:tcW w:w="1305" w:type="dxa"/>
            <w:vAlign w:val="center"/>
          </w:tcPr>
          <w:p w14:paraId="733D2706" w14:textId="77777777" w:rsidR="00CA3CAA" w:rsidRPr="00337E58" w:rsidRDefault="00CA3CAA" w:rsidP="00CA3CAA">
            <w:pPr>
              <w:pStyle w:val="BodyTextIndent"/>
              <w:tabs>
                <w:tab w:val="left" w:pos="725"/>
              </w:tabs>
              <w:spacing w:after="0"/>
              <w:ind w:left="0" w:right="364"/>
              <w:jc w:val="right"/>
            </w:pPr>
            <w:r w:rsidRPr="00337E58">
              <w:t>50</w:t>
            </w:r>
          </w:p>
        </w:tc>
      </w:tr>
      <w:tr w:rsidR="00CA3CAA" w:rsidRPr="00337E58" w14:paraId="1D0F3B60" w14:textId="77777777" w:rsidTr="00CA3CAA">
        <w:trPr>
          <w:jc w:val="center"/>
        </w:trPr>
        <w:tc>
          <w:tcPr>
            <w:tcW w:w="1440" w:type="dxa"/>
          </w:tcPr>
          <w:p w14:paraId="38293936" w14:textId="77777777" w:rsidR="00CA3CAA" w:rsidRPr="00337E58" w:rsidRDefault="00CA3CAA" w:rsidP="00CA3CAA">
            <w:pPr>
              <w:pStyle w:val="BodyTextIndent"/>
              <w:spacing w:after="0"/>
              <w:ind w:left="0"/>
              <w:jc w:val="center"/>
            </w:pPr>
            <w:r w:rsidRPr="00337E58">
              <w:t>CO</w:t>
            </w:r>
          </w:p>
        </w:tc>
        <w:tc>
          <w:tcPr>
            <w:tcW w:w="1305" w:type="dxa"/>
            <w:vAlign w:val="center"/>
          </w:tcPr>
          <w:p w14:paraId="2084ADE0" w14:textId="77777777" w:rsidR="00CA3CAA" w:rsidRPr="00337E58" w:rsidRDefault="00CA3CAA" w:rsidP="00CA3CAA">
            <w:pPr>
              <w:pStyle w:val="BodyTextIndent"/>
              <w:tabs>
                <w:tab w:val="left" w:pos="725"/>
              </w:tabs>
              <w:spacing w:after="0"/>
              <w:ind w:left="0" w:right="364"/>
              <w:jc w:val="right"/>
            </w:pPr>
            <w:r w:rsidRPr="00337E58">
              <w:t>250</w:t>
            </w:r>
          </w:p>
        </w:tc>
      </w:tr>
    </w:tbl>
    <w:p w14:paraId="0FC1E7F6" w14:textId="4DD96AF0" w:rsidR="00CA3CAA" w:rsidRPr="00337E58" w:rsidRDefault="00CA3CAA" w:rsidP="00CD3591">
      <w:pPr>
        <w:rPr>
          <w:b/>
          <w:i/>
        </w:rPr>
      </w:pPr>
    </w:p>
    <w:p w14:paraId="1CEC90D3" w14:textId="3CD0B66E" w:rsidR="00CA3CAA" w:rsidRPr="00337E58" w:rsidRDefault="00CA3CAA" w:rsidP="00E43CB6">
      <w:pPr>
        <w:ind w:left="360"/>
      </w:pPr>
      <w:r w:rsidRPr="00337E58">
        <w:lastRenderedPageBreak/>
        <w:t>The total licensed annual emissions for the facility are below the emission levels contained in the table above and there are no extenuating circumstances; therefore, an ambient air quality impact analysis is not required as part of this license.</w:t>
      </w:r>
    </w:p>
    <w:p w14:paraId="3A7CBAEE" w14:textId="77777777" w:rsidR="00CA3CAA" w:rsidRPr="00337E58" w:rsidRDefault="00CA3CAA" w:rsidP="00E43CB6">
      <w:pPr>
        <w:tabs>
          <w:tab w:val="left" w:pos="720"/>
        </w:tabs>
        <w:ind w:left="360"/>
      </w:pPr>
    </w:p>
    <w:p w14:paraId="5E1C12DA" w14:textId="68B09DCB" w:rsidR="00CA3CAA" w:rsidRPr="00337E58" w:rsidRDefault="00CA3CAA" w:rsidP="00E43CB6">
      <w:pPr>
        <w:ind w:left="360"/>
      </w:pPr>
      <w:bookmarkStart w:id="3" w:name="_Hlk99615818"/>
      <w:r w:rsidRPr="00337E58">
        <w:t>This determination is based on information provided by the applicant regarding</w:t>
      </w:r>
      <w:bookmarkStart w:id="4" w:name="_Hlk139033765"/>
      <w:r w:rsidR="00CD3591" w:rsidRPr="00337E58">
        <w:t xml:space="preserve"> </w:t>
      </w:r>
      <w:r w:rsidRPr="00337E58">
        <w:t>licensed</w:t>
      </w:r>
      <w:bookmarkEnd w:id="4"/>
      <w:r w:rsidRPr="00337E58">
        <w:t xml:space="preserve"> emission units. If the Department determines that any parameter (e.g., stack size, configuration, flow rate, emission rates, nearby structures, etc.) deviates from what was included in the application, the Department may require </w:t>
      </w:r>
      <w:r w:rsidR="00CD3591" w:rsidRPr="00337E58">
        <w:t>NSAPH</w:t>
      </w:r>
      <w:r w:rsidRPr="00337E58">
        <w:t xml:space="preserve"> to submit additional information and may require an ambient air quality impact analysis at that time.</w:t>
      </w:r>
    </w:p>
    <w:bookmarkEnd w:id="3"/>
    <w:p w14:paraId="760C1F97" w14:textId="77777777" w:rsidR="00CA3CAA" w:rsidRPr="00337E58" w:rsidRDefault="00CA3CAA" w:rsidP="00E43CB6">
      <w:pPr>
        <w:tabs>
          <w:tab w:val="left" w:pos="720"/>
        </w:tabs>
        <w:ind w:left="360"/>
      </w:pPr>
    </w:p>
    <w:p w14:paraId="382240D6" w14:textId="77777777" w:rsidR="00CA3CAA" w:rsidRPr="00337E58" w:rsidRDefault="00CA3CAA" w:rsidP="006E35A9">
      <w:pPr>
        <w:jc w:val="left"/>
      </w:pPr>
    </w:p>
    <w:p w14:paraId="151E2C7C" w14:textId="77777777" w:rsidR="00CA3CAA" w:rsidRPr="00337E58" w:rsidRDefault="00EB5AE8" w:rsidP="00EB5AE8">
      <w:pPr>
        <w:pStyle w:val="Heading1"/>
      </w:pPr>
      <w:r w:rsidRPr="00337E58">
        <w:t>ORDER</w:t>
      </w:r>
    </w:p>
    <w:p w14:paraId="419D4340" w14:textId="77777777" w:rsidR="00EB5AE8" w:rsidRPr="00337E58" w:rsidRDefault="00EB5AE8" w:rsidP="006E35A9">
      <w:pPr>
        <w:jc w:val="left"/>
      </w:pPr>
    </w:p>
    <w:p w14:paraId="4929BC8D" w14:textId="77777777" w:rsidR="00EB5AE8" w:rsidRPr="00337E58" w:rsidRDefault="00EB5AE8" w:rsidP="00EB5AE8">
      <w:r w:rsidRPr="00337E58">
        <w:t>Based on the above Findings and subject to conditions listed below, the Department concludes that the emissions from this source:</w:t>
      </w:r>
    </w:p>
    <w:p w14:paraId="61333FF1" w14:textId="77777777" w:rsidR="00EB5AE8" w:rsidRPr="00337E58" w:rsidRDefault="00EB5AE8" w:rsidP="00EB5AE8">
      <w:pPr>
        <w:numPr>
          <w:ilvl w:val="0"/>
          <w:numId w:val="70"/>
        </w:numPr>
        <w:tabs>
          <w:tab w:val="clear" w:pos="720"/>
          <w:tab w:val="num" w:pos="360"/>
        </w:tabs>
        <w:ind w:left="360" w:hanging="360"/>
      </w:pPr>
      <w:r w:rsidRPr="00337E58">
        <w:t>will receive Best Practical Treatment,</w:t>
      </w:r>
    </w:p>
    <w:p w14:paraId="0628EEC6" w14:textId="77777777" w:rsidR="00EB5AE8" w:rsidRPr="00337E58" w:rsidRDefault="00EB5AE8" w:rsidP="00EB5AE8">
      <w:pPr>
        <w:numPr>
          <w:ilvl w:val="0"/>
          <w:numId w:val="70"/>
        </w:numPr>
        <w:tabs>
          <w:tab w:val="clear" w:pos="720"/>
          <w:tab w:val="num" w:pos="360"/>
        </w:tabs>
        <w:ind w:left="360" w:hanging="360"/>
      </w:pPr>
      <w:r w:rsidRPr="00337E58">
        <w:t>will not violate applicable emission standards, and</w:t>
      </w:r>
    </w:p>
    <w:p w14:paraId="6B5CDCD2" w14:textId="77777777" w:rsidR="00EB5AE8" w:rsidRPr="00337E58" w:rsidRDefault="00EB5AE8" w:rsidP="00EB5AE8">
      <w:pPr>
        <w:numPr>
          <w:ilvl w:val="0"/>
          <w:numId w:val="70"/>
        </w:numPr>
        <w:tabs>
          <w:tab w:val="clear" w:pos="720"/>
          <w:tab w:val="num" w:pos="360"/>
          <w:tab w:val="num" w:pos="1440"/>
        </w:tabs>
        <w:ind w:left="360" w:hanging="360"/>
      </w:pPr>
      <w:r w:rsidRPr="00337E58">
        <w:t>will not violate applicable ambient air quality standards in conjunction with emissions from other sources.</w:t>
      </w:r>
    </w:p>
    <w:p w14:paraId="64905BA6" w14:textId="77777777" w:rsidR="00EB5AE8" w:rsidRPr="00337E58" w:rsidRDefault="00EB5AE8" w:rsidP="00EB5AE8"/>
    <w:p w14:paraId="1118D6C9" w14:textId="57932618" w:rsidR="00EB5AE8" w:rsidRPr="00337E58" w:rsidRDefault="00EB5AE8" w:rsidP="00EB5AE8">
      <w:pPr>
        <w:pStyle w:val="BodyText"/>
        <w:rPr>
          <w:szCs w:val="24"/>
        </w:rPr>
      </w:pPr>
      <w:r w:rsidRPr="00337E58">
        <w:rPr>
          <w:szCs w:val="24"/>
        </w:rPr>
        <w:t>The Department hereby grants Air Emission License</w:t>
      </w:r>
      <w:r w:rsidRPr="00337E58">
        <w:rPr>
          <w:b/>
          <w:bCs/>
          <w:i/>
          <w:szCs w:val="24"/>
        </w:rPr>
        <w:t xml:space="preserve"> </w:t>
      </w:r>
      <w:r w:rsidRPr="00337E58">
        <w:rPr>
          <w:szCs w:val="24"/>
        </w:rPr>
        <w:t>A-</w:t>
      </w:r>
      <w:r w:rsidR="000B4F55" w:rsidRPr="00337E58">
        <w:rPr>
          <w:szCs w:val="24"/>
        </w:rPr>
        <w:t>1121</w:t>
      </w:r>
      <w:r w:rsidRPr="00337E58">
        <w:rPr>
          <w:szCs w:val="24"/>
        </w:rPr>
        <w:t>-</w:t>
      </w:r>
      <w:r w:rsidR="000B4F55" w:rsidRPr="00337E58">
        <w:rPr>
          <w:szCs w:val="24"/>
        </w:rPr>
        <w:t>71</w:t>
      </w:r>
      <w:r w:rsidRPr="00337E58">
        <w:rPr>
          <w:szCs w:val="24"/>
        </w:rPr>
        <w:t>-</w:t>
      </w:r>
      <w:r w:rsidR="000B4F55" w:rsidRPr="00337E58">
        <w:rPr>
          <w:szCs w:val="24"/>
        </w:rPr>
        <w:t>B</w:t>
      </w:r>
      <w:r w:rsidRPr="00337E58">
        <w:rPr>
          <w:szCs w:val="24"/>
        </w:rPr>
        <w:t>-</w:t>
      </w:r>
      <w:r w:rsidR="000B4F55" w:rsidRPr="00337E58">
        <w:rPr>
          <w:szCs w:val="24"/>
        </w:rPr>
        <w:t>R</w:t>
      </w:r>
      <w:r w:rsidRPr="00337E58">
        <w:rPr>
          <w:szCs w:val="24"/>
        </w:rPr>
        <w:t xml:space="preserve"> subject to the following conditions.</w:t>
      </w:r>
    </w:p>
    <w:p w14:paraId="00F48A95" w14:textId="77777777" w:rsidR="00EB5AE8" w:rsidRPr="00337E58" w:rsidRDefault="00EB5AE8" w:rsidP="00EB5AE8">
      <w:pPr>
        <w:pStyle w:val="BodyText"/>
        <w:rPr>
          <w:szCs w:val="24"/>
        </w:rPr>
      </w:pPr>
    </w:p>
    <w:p w14:paraId="40751407" w14:textId="40FB28A0" w:rsidR="00EB5AE8" w:rsidRPr="00337E58" w:rsidRDefault="00EB5AE8" w:rsidP="00EB5AE8">
      <w:pPr>
        <w:autoSpaceDE w:val="0"/>
        <w:autoSpaceDN w:val="0"/>
        <w:adjustRightInd w:val="0"/>
        <w:rPr>
          <w:bCs/>
        </w:rPr>
      </w:pPr>
      <w:r w:rsidRPr="00337E58">
        <w:rPr>
          <w:bCs/>
          <w:u w:val="single"/>
        </w:rPr>
        <w:t>Severability</w:t>
      </w:r>
      <w:r w:rsidRPr="00337E58">
        <w:rPr>
          <w:bCs/>
        </w:rPr>
        <w:t xml:space="preserve">. The invalidity or unenforceability of any provision of this License or part thereof shall not affect the remainder of the provision or any other provisions. This License shall be construed and enforced in all respects as if such invalid or unenforceable provision or part thereof </w:t>
      </w:r>
      <w:proofErr w:type="gramStart"/>
      <w:r w:rsidRPr="00337E58">
        <w:rPr>
          <w:bCs/>
        </w:rPr>
        <w:t>had</w:t>
      </w:r>
      <w:proofErr w:type="gramEnd"/>
      <w:r w:rsidRPr="00337E58">
        <w:rPr>
          <w:bCs/>
        </w:rPr>
        <w:t xml:space="preserve"> been omitted.</w:t>
      </w:r>
    </w:p>
    <w:p w14:paraId="3C4ED76A" w14:textId="77777777" w:rsidR="00EB5AE8" w:rsidRPr="00337E58" w:rsidRDefault="00EB5AE8" w:rsidP="00EB5AE8"/>
    <w:p w14:paraId="37AADD1E" w14:textId="77777777" w:rsidR="00EB5AE8" w:rsidRPr="00337E58" w:rsidRDefault="00EB5AE8" w:rsidP="00EB5AE8">
      <w:pPr>
        <w:pStyle w:val="OrderHead2"/>
      </w:pPr>
      <w:r w:rsidRPr="00337E58">
        <w:t>STANDARD CONDITIONS</w:t>
      </w:r>
    </w:p>
    <w:p w14:paraId="3F893056" w14:textId="77777777" w:rsidR="00EB5AE8" w:rsidRPr="00337E58" w:rsidRDefault="00EB5AE8" w:rsidP="00EB5AE8">
      <w:pPr>
        <w:rPr>
          <w:b/>
        </w:rPr>
      </w:pPr>
    </w:p>
    <w:p w14:paraId="0D1017F4" w14:textId="77777777" w:rsidR="00EB5AE8" w:rsidRPr="00337E58" w:rsidRDefault="00EB5AE8" w:rsidP="00EB5AE8">
      <w:pPr>
        <w:pStyle w:val="ListParagraph"/>
        <w:numPr>
          <w:ilvl w:val="0"/>
          <w:numId w:val="74"/>
        </w:numPr>
        <w:tabs>
          <w:tab w:val="num" w:pos="720"/>
        </w:tabs>
        <w:ind w:hanging="720"/>
      </w:pPr>
      <w:r w:rsidRPr="00337E58">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M.R.S. § 347-C).</w:t>
      </w:r>
    </w:p>
    <w:p w14:paraId="3D73B4C5" w14:textId="77777777" w:rsidR="00EB5AE8" w:rsidRPr="00337E58" w:rsidRDefault="00EB5AE8" w:rsidP="00EB5AE8"/>
    <w:p w14:paraId="1AEACE33" w14:textId="77777777" w:rsidR="00EB5AE8" w:rsidRPr="00337E58" w:rsidRDefault="00EB5AE8" w:rsidP="00EB5AE8">
      <w:pPr>
        <w:pStyle w:val="ListParagraph"/>
        <w:numPr>
          <w:ilvl w:val="0"/>
          <w:numId w:val="74"/>
        </w:numPr>
        <w:tabs>
          <w:tab w:val="num" w:pos="720"/>
        </w:tabs>
        <w:ind w:hanging="720"/>
      </w:pPr>
      <w:r w:rsidRPr="00337E58">
        <w:t>The licensee shall acquire a new or amended air emission license prior to beginning actual construction of a modification, unless specifically provided for in Chapter 115. [06</w:t>
      </w:r>
      <w:r w:rsidR="004C1A78" w:rsidRPr="00337E58">
        <w:noBreakHyphen/>
      </w:r>
      <w:r w:rsidRPr="00337E58">
        <w:t>096</w:t>
      </w:r>
      <w:r w:rsidR="004C1A78" w:rsidRPr="00337E58">
        <w:t> </w:t>
      </w:r>
      <w:r w:rsidRPr="00337E58">
        <w:t>C.M.R. ch. 115]</w:t>
      </w:r>
    </w:p>
    <w:p w14:paraId="3CF52BD5" w14:textId="77777777" w:rsidR="00EB5AE8" w:rsidRPr="00337E58" w:rsidRDefault="00EB5AE8" w:rsidP="00EB5AE8">
      <w:pPr>
        <w:pStyle w:val="ListParagraph"/>
      </w:pPr>
    </w:p>
    <w:p w14:paraId="249F51CA" w14:textId="77777777" w:rsidR="004C1A78" w:rsidRPr="00337E58" w:rsidRDefault="00EB5AE8" w:rsidP="004C1A78">
      <w:pPr>
        <w:pStyle w:val="ListParagraph"/>
        <w:numPr>
          <w:ilvl w:val="0"/>
          <w:numId w:val="74"/>
        </w:numPr>
        <w:tabs>
          <w:tab w:val="num" w:pos="720"/>
        </w:tabs>
        <w:ind w:hanging="720"/>
      </w:pPr>
      <w:r w:rsidRPr="00337E58">
        <w:t xml:space="preserve">Approval to construct shall become invalid if the source has not commenced construction within eighteen (18) months after receipt of such approval or if construction is discontinued for a period of eighteen (18) months or more. The Department may extend this </w:t>
      </w:r>
      <w:proofErr w:type="gramStart"/>
      <w:r w:rsidRPr="00337E58">
        <w:t>time period</w:t>
      </w:r>
      <w:proofErr w:type="gramEnd"/>
      <w:r w:rsidRPr="00337E58">
        <w:t xml:space="preserve"> </w:t>
      </w:r>
      <w:r w:rsidRPr="00337E58">
        <w:lastRenderedPageBreak/>
        <w:t xml:space="preserve">upon a satisfactory showing that an extension is </w:t>
      </w:r>
      <w:proofErr w:type="gramStart"/>
      <w:r w:rsidRPr="00337E58">
        <w:t>justified, but</w:t>
      </w:r>
      <w:proofErr w:type="gramEnd"/>
      <w:r w:rsidRPr="00337E58">
        <w:t xml:space="preserve"> may condition such extension upon a review of either the control technology analysis or the ambient air quality standards analysis, or both. [06-096 C.M.R. ch. 115]</w:t>
      </w:r>
    </w:p>
    <w:p w14:paraId="0F1169D5" w14:textId="77777777" w:rsidR="004C1A78" w:rsidRPr="00337E58" w:rsidRDefault="004C1A78" w:rsidP="004C1A78">
      <w:pPr>
        <w:pStyle w:val="ListParagraph"/>
      </w:pPr>
    </w:p>
    <w:p w14:paraId="2A15D3BE" w14:textId="77777777" w:rsidR="004C1A78" w:rsidRPr="00337E58" w:rsidRDefault="00EB5AE8" w:rsidP="004C1A78">
      <w:pPr>
        <w:pStyle w:val="ListParagraph"/>
        <w:numPr>
          <w:ilvl w:val="0"/>
          <w:numId w:val="74"/>
        </w:numPr>
        <w:tabs>
          <w:tab w:val="num" w:pos="720"/>
        </w:tabs>
        <w:ind w:hanging="720"/>
      </w:pPr>
      <w:r w:rsidRPr="00337E58">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C.M.R. ch. 115]</w:t>
      </w:r>
    </w:p>
    <w:p w14:paraId="2268DED1" w14:textId="77777777" w:rsidR="004C1A78" w:rsidRPr="00337E58" w:rsidRDefault="004C1A78" w:rsidP="004C1A78">
      <w:pPr>
        <w:pStyle w:val="ListParagraph"/>
      </w:pPr>
    </w:p>
    <w:p w14:paraId="2C38B3A5" w14:textId="4F626D24" w:rsidR="004C1A78" w:rsidRPr="00337E58" w:rsidRDefault="00EB5AE8" w:rsidP="004C1A78">
      <w:pPr>
        <w:pStyle w:val="ListParagraph"/>
        <w:numPr>
          <w:ilvl w:val="0"/>
          <w:numId w:val="74"/>
        </w:numPr>
        <w:tabs>
          <w:tab w:val="num" w:pos="720"/>
        </w:tabs>
        <w:ind w:hanging="720"/>
      </w:pPr>
      <w:r w:rsidRPr="00337E58">
        <w:t xml:space="preserve">The licensee shall pay the annual air emission license fee to the Department, calculated pursuant to Title 38 M.R.S. § 353-A. [06-096 C.M.R. ch. 115] Payment of the annual air emission license fee for </w:t>
      </w:r>
      <w:r w:rsidR="000B4F55" w:rsidRPr="00337E58">
        <w:t>NSAPH</w:t>
      </w:r>
      <w:r w:rsidRPr="00337E58">
        <w:t xml:space="preserve"> is due by the end of May</w:t>
      </w:r>
      <w:r w:rsidR="002E5EE9" w:rsidRPr="00337E58">
        <w:rPr>
          <w:b/>
          <w:bCs/>
          <w:i/>
          <w:iCs/>
        </w:rPr>
        <w:t xml:space="preserve"> </w:t>
      </w:r>
      <w:r w:rsidRPr="00337E58">
        <w:t>of each year. [38 M.R.S. §</w:t>
      </w:r>
      <w:r w:rsidR="002E5EE9" w:rsidRPr="00337E58">
        <w:t> </w:t>
      </w:r>
      <w:r w:rsidRPr="00337E58">
        <w:t>353</w:t>
      </w:r>
      <w:r w:rsidR="002E5EE9" w:rsidRPr="00337E58">
        <w:noBreakHyphen/>
      </w:r>
      <w:proofErr w:type="gramStart"/>
      <w:r w:rsidRPr="00337E58">
        <w:t>A(</w:t>
      </w:r>
      <w:proofErr w:type="gramEnd"/>
      <w:r w:rsidRPr="00337E58">
        <w:t>3)]</w:t>
      </w:r>
    </w:p>
    <w:p w14:paraId="165091DE" w14:textId="77777777" w:rsidR="004C1A78" w:rsidRPr="00337E58" w:rsidRDefault="004C1A78" w:rsidP="004C1A78">
      <w:pPr>
        <w:pStyle w:val="ListParagraph"/>
      </w:pPr>
    </w:p>
    <w:p w14:paraId="2BF8ABB8" w14:textId="77777777" w:rsidR="004C1A78" w:rsidRPr="00337E58" w:rsidRDefault="00EB5AE8" w:rsidP="004C1A78">
      <w:pPr>
        <w:pStyle w:val="ListParagraph"/>
        <w:numPr>
          <w:ilvl w:val="0"/>
          <w:numId w:val="74"/>
        </w:numPr>
        <w:tabs>
          <w:tab w:val="num" w:pos="720"/>
        </w:tabs>
        <w:ind w:hanging="720"/>
      </w:pPr>
      <w:r w:rsidRPr="00337E58">
        <w:t xml:space="preserve">The license does not convey any property rights of any sort, or any exclusive privilege. [06-096 C.M.R. ch. 115] </w:t>
      </w:r>
    </w:p>
    <w:p w14:paraId="7DE082EA" w14:textId="77777777" w:rsidR="004C1A78" w:rsidRPr="00337E58" w:rsidRDefault="004C1A78" w:rsidP="004C1A78">
      <w:pPr>
        <w:pStyle w:val="ListParagraph"/>
      </w:pPr>
    </w:p>
    <w:p w14:paraId="290B3961" w14:textId="77777777" w:rsidR="004C1A78" w:rsidRPr="00337E58" w:rsidRDefault="00EB5AE8" w:rsidP="004C1A78">
      <w:pPr>
        <w:pStyle w:val="ListParagraph"/>
        <w:numPr>
          <w:ilvl w:val="0"/>
          <w:numId w:val="74"/>
        </w:numPr>
        <w:tabs>
          <w:tab w:val="num" w:pos="720"/>
        </w:tabs>
        <w:ind w:hanging="720"/>
      </w:pPr>
      <w:r w:rsidRPr="00337E58">
        <w:t>The licensee shall maintain and operate all emission units and air pollution systems required by the air emission license in a manner consistent with good air pollution control practice for minimizing emissions. [06-096 C.M.R. ch. 115]</w:t>
      </w:r>
    </w:p>
    <w:p w14:paraId="2EA50725" w14:textId="77777777" w:rsidR="004C1A78" w:rsidRPr="00337E58" w:rsidRDefault="004C1A78" w:rsidP="004C1A78">
      <w:pPr>
        <w:pStyle w:val="ListParagraph"/>
      </w:pPr>
    </w:p>
    <w:p w14:paraId="0C0FE62B" w14:textId="77777777" w:rsidR="004C1A78" w:rsidRPr="00337E58" w:rsidRDefault="00EB5AE8" w:rsidP="004C1A78">
      <w:pPr>
        <w:pStyle w:val="ListParagraph"/>
        <w:numPr>
          <w:ilvl w:val="0"/>
          <w:numId w:val="74"/>
        </w:numPr>
        <w:tabs>
          <w:tab w:val="num" w:pos="720"/>
        </w:tabs>
        <w:ind w:hanging="720"/>
      </w:pPr>
      <w:r w:rsidRPr="00337E58">
        <w:t>The licensee shall maintain sufficient records to accurately document compliance with emission standards and license conditions and shall maintain such records for a minimum of six (6) years. The records shall be submitted to the Department upon written request. [06-096 C.M.R. ch. 115]</w:t>
      </w:r>
    </w:p>
    <w:p w14:paraId="58FDBD49" w14:textId="77777777" w:rsidR="004C1A78" w:rsidRPr="00337E58" w:rsidRDefault="004C1A78" w:rsidP="004C1A78">
      <w:pPr>
        <w:pStyle w:val="ListParagraph"/>
      </w:pPr>
    </w:p>
    <w:p w14:paraId="1953862B" w14:textId="77777777" w:rsidR="004C1A78" w:rsidRPr="00337E58" w:rsidRDefault="00EB5AE8" w:rsidP="004C1A78">
      <w:pPr>
        <w:pStyle w:val="ListParagraph"/>
        <w:numPr>
          <w:ilvl w:val="0"/>
          <w:numId w:val="74"/>
        </w:numPr>
        <w:tabs>
          <w:tab w:val="num" w:pos="720"/>
        </w:tabs>
        <w:ind w:hanging="720"/>
      </w:pPr>
      <w:r w:rsidRPr="00337E58">
        <w:t>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w:t>
      </w:r>
    </w:p>
    <w:p w14:paraId="344EE1A2" w14:textId="77777777" w:rsidR="004C1A78" w:rsidRPr="00337E58" w:rsidRDefault="00EB5AE8" w:rsidP="004C1A78">
      <w:pPr>
        <w:pStyle w:val="ListParagraph"/>
      </w:pPr>
      <w:r w:rsidRPr="00337E58">
        <w:t>[06</w:t>
      </w:r>
      <w:r w:rsidR="004C1A78" w:rsidRPr="00337E58">
        <w:t>-</w:t>
      </w:r>
      <w:r w:rsidR="004C1A78" w:rsidRPr="00337E58">
        <w:noBreakHyphen/>
      </w:r>
      <w:r w:rsidRPr="00337E58">
        <w:t>096</w:t>
      </w:r>
      <w:r w:rsidR="004C1A78" w:rsidRPr="00337E58">
        <w:t> </w:t>
      </w:r>
      <w:r w:rsidRPr="00337E58">
        <w:t>C.M.R.</w:t>
      </w:r>
      <w:r w:rsidR="004C1A78" w:rsidRPr="00337E58">
        <w:t> </w:t>
      </w:r>
      <w:r w:rsidRPr="00337E58">
        <w:t>ch.</w:t>
      </w:r>
      <w:r w:rsidR="004C1A78" w:rsidRPr="00337E58">
        <w:t> </w:t>
      </w:r>
      <w:r w:rsidRPr="00337E58">
        <w:t>115]</w:t>
      </w:r>
    </w:p>
    <w:p w14:paraId="5132DEAA" w14:textId="77777777" w:rsidR="004C1A78" w:rsidRPr="00337E58" w:rsidRDefault="004C1A78" w:rsidP="004C1A78">
      <w:pPr>
        <w:pStyle w:val="ListParagraph"/>
      </w:pPr>
    </w:p>
    <w:p w14:paraId="2794FF4B" w14:textId="77777777" w:rsidR="004C1A78" w:rsidRPr="00337E58" w:rsidRDefault="00EB5AE8" w:rsidP="004C1A78">
      <w:pPr>
        <w:pStyle w:val="ListParagraph"/>
        <w:numPr>
          <w:ilvl w:val="0"/>
          <w:numId w:val="74"/>
        </w:numPr>
        <w:tabs>
          <w:tab w:val="num" w:pos="720"/>
        </w:tabs>
        <w:ind w:hanging="720"/>
      </w:pPr>
      <w:r w:rsidRPr="00337E58">
        <w:t xml:space="preserve">The licensee may not use as a defense in an enforcement action that the disruption, cessation, or reduction of licensed operations would have been necessary </w:t>
      </w:r>
      <w:proofErr w:type="gramStart"/>
      <w:r w:rsidRPr="00337E58">
        <w:t>in order to</w:t>
      </w:r>
      <w:proofErr w:type="gramEnd"/>
      <w:r w:rsidRPr="00337E58">
        <w:t xml:space="preserve"> maintain compliance with the conditions of the air emission license. </w:t>
      </w:r>
    </w:p>
    <w:p w14:paraId="1A12AA6E" w14:textId="77777777" w:rsidR="004C1A78" w:rsidRPr="00337E58" w:rsidRDefault="00EB5AE8" w:rsidP="004C1A78">
      <w:pPr>
        <w:pStyle w:val="ListParagraph"/>
      </w:pPr>
      <w:r w:rsidRPr="00337E58">
        <w:t>[06-096 C.M.R. ch. 115]</w:t>
      </w:r>
    </w:p>
    <w:p w14:paraId="5920EAB1" w14:textId="77777777" w:rsidR="004C1A78" w:rsidRPr="00337E58" w:rsidRDefault="004C1A78" w:rsidP="004C1A78">
      <w:pPr>
        <w:pStyle w:val="ListParagraph"/>
      </w:pPr>
    </w:p>
    <w:p w14:paraId="5ED872FF" w14:textId="77777777" w:rsidR="00EB5AE8" w:rsidRPr="00337E58" w:rsidRDefault="00EB5AE8" w:rsidP="004C1A78">
      <w:pPr>
        <w:pStyle w:val="ListParagraph"/>
        <w:numPr>
          <w:ilvl w:val="0"/>
          <w:numId w:val="74"/>
        </w:numPr>
        <w:tabs>
          <w:tab w:val="num" w:pos="720"/>
        </w:tabs>
        <w:ind w:hanging="720"/>
      </w:pPr>
      <w:r w:rsidRPr="00337E58">
        <w:t>In accordance with the Department’s air emission compliance test protocol and 40 C.F.R. Part 60 or other method approved or required by the Department, the licensee shall:</w:t>
      </w:r>
    </w:p>
    <w:p w14:paraId="30C093A7" w14:textId="77777777" w:rsidR="00EB5AE8" w:rsidRPr="00337E58" w:rsidRDefault="00EB5AE8" w:rsidP="00EB5AE8"/>
    <w:p w14:paraId="66ED4089" w14:textId="77777777" w:rsidR="00EB5AE8" w:rsidRPr="00337E58" w:rsidRDefault="00EB5AE8" w:rsidP="00EB5AE8">
      <w:pPr>
        <w:numPr>
          <w:ilvl w:val="0"/>
          <w:numId w:val="71"/>
        </w:numPr>
      </w:pPr>
      <w:r w:rsidRPr="00337E58">
        <w:lastRenderedPageBreak/>
        <w:t>Perform stack testing to demonstrate compliance with the applicable emission standards under circumstances representative of the facility’s normal process and operating conditions:</w:t>
      </w:r>
    </w:p>
    <w:p w14:paraId="36D1C3ED" w14:textId="77777777" w:rsidR="00EB5AE8" w:rsidRPr="00337E58" w:rsidRDefault="00EB5AE8" w:rsidP="00EB5AE8">
      <w:pPr>
        <w:numPr>
          <w:ilvl w:val="0"/>
          <w:numId w:val="72"/>
        </w:numPr>
      </w:pPr>
      <w:r w:rsidRPr="00337E58">
        <w:t>Within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2856341D" w14:textId="77777777" w:rsidR="00EB5AE8" w:rsidRPr="00337E58" w:rsidRDefault="00EB5AE8" w:rsidP="00EB5AE8">
      <w:pPr>
        <w:numPr>
          <w:ilvl w:val="0"/>
          <w:numId w:val="72"/>
        </w:numPr>
      </w:pPr>
      <w:r w:rsidRPr="00337E58">
        <w:t>Pursuant to any other requirement of this license to perform stack testing.</w:t>
      </w:r>
    </w:p>
    <w:p w14:paraId="0E1A0E49" w14:textId="77777777" w:rsidR="00EB5AE8" w:rsidRPr="00337E58" w:rsidRDefault="00EB5AE8" w:rsidP="00EB5AE8">
      <w:pPr>
        <w:ind w:left="1440"/>
      </w:pPr>
    </w:p>
    <w:p w14:paraId="18A2C084" w14:textId="77777777" w:rsidR="00EB5AE8" w:rsidRPr="00337E58" w:rsidRDefault="00EB5AE8" w:rsidP="00EB5AE8">
      <w:pPr>
        <w:numPr>
          <w:ilvl w:val="0"/>
          <w:numId w:val="71"/>
        </w:numPr>
        <w:tabs>
          <w:tab w:val="left" w:pos="1440"/>
        </w:tabs>
      </w:pPr>
      <w:r w:rsidRPr="00337E58">
        <w:t xml:space="preserve">Install or make provisions to install test ports that meet the criteria of 40 C.F.R. Part 60, Appendix A, and test platforms, if necessary, and other </w:t>
      </w:r>
      <w:proofErr w:type="gramStart"/>
      <w:r w:rsidRPr="00337E58">
        <w:t>accommodations</w:t>
      </w:r>
      <w:proofErr w:type="gramEnd"/>
      <w:r w:rsidRPr="00337E58">
        <w:t xml:space="preserve"> necessary to allow emission testing; and</w:t>
      </w:r>
    </w:p>
    <w:p w14:paraId="36C0520F" w14:textId="77777777" w:rsidR="00EB5AE8" w:rsidRPr="00337E58" w:rsidRDefault="00EB5AE8" w:rsidP="00EB5AE8">
      <w:pPr>
        <w:tabs>
          <w:tab w:val="left" w:pos="1440"/>
        </w:tabs>
        <w:ind w:left="1080"/>
      </w:pPr>
    </w:p>
    <w:p w14:paraId="0B18D594" w14:textId="77777777" w:rsidR="00EB5AE8" w:rsidRPr="00337E58" w:rsidRDefault="00EB5AE8" w:rsidP="00EB5AE8">
      <w:pPr>
        <w:numPr>
          <w:ilvl w:val="0"/>
          <w:numId w:val="71"/>
        </w:numPr>
        <w:tabs>
          <w:tab w:val="left" w:pos="1440"/>
        </w:tabs>
      </w:pPr>
      <w:r w:rsidRPr="00337E58">
        <w:t xml:space="preserve">Submit a written report to the Department within thirty (30) </w:t>
      </w:r>
      <w:proofErr w:type="gramStart"/>
      <w:r w:rsidRPr="00337E58">
        <w:t>days from date</w:t>
      </w:r>
      <w:proofErr w:type="gramEnd"/>
      <w:r w:rsidRPr="00337E58">
        <w:t xml:space="preserve"> of test completion.</w:t>
      </w:r>
    </w:p>
    <w:p w14:paraId="52C65738" w14:textId="77777777" w:rsidR="00EB5AE8" w:rsidRPr="00337E58" w:rsidRDefault="00EB5AE8" w:rsidP="00EB5AE8">
      <w:pPr>
        <w:ind w:left="720"/>
      </w:pPr>
      <w:r w:rsidRPr="00337E58">
        <w:t>[06-096 C.M.R. ch. 115]</w:t>
      </w:r>
    </w:p>
    <w:p w14:paraId="1E0CF1FD" w14:textId="77777777" w:rsidR="00EB5AE8" w:rsidRPr="00337E58" w:rsidRDefault="00EB5AE8" w:rsidP="00EB5AE8"/>
    <w:p w14:paraId="71AC26F0" w14:textId="77777777" w:rsidR="00EB5AE8" w:rsidRPr="00337E58" w:rsidRDefault="00EB5AE8" w:rsidP="004C1A78">
      <w:pPr>
        <w:pStyle w:val="ListParagraph"/>
        <w:numPr>
          <w:ilvl w:val="0"/>
          <w:numId w:val="74"/>
        </w:numPr>
        <w:tabs>
          <w:tab w:val="num" w:pos="720"/>
        </w:tabs>
        <w:ind w:hanging="720"/>
      </w:pPr>
      <w:r w:rsidRPr="00337E58">
        <w:t xml:space="preserve">If the results of a stack test performed under circumstances representative of the facility’s normal process and operating conditions indicate emissions </w:t>
      </w:r>
      <w:proofErr w:type="gramStart"/>
      <w:r w:rsidRPr="00337E58">
        <w:t>in excess of</w:t>
      </w:r>
      <w:proofErr w:type="gramEnd"/>
      <w:r w:rsidRPr="00337E58">
        <w:t xml:space="preserve"> the applicable standards, then:</w:t>
      </w:r>
    </w:p>
    <w:p w14:paraId="745EAF95" w14:textId="77777777" w:rsidR="00EB5AE8" w:rsidRPr="00337E58" w:rsidRDefault="00EB5AE8" w:rsidP="00EB5AE8">
      <w:pPr>
        <w:ind w:left="720"/>
      </w:pPr>
    </w:p>
    <w:p w14:paraId="6F82E4A2" w14:textId="77777777" w:rsidR="00EB5AE8" w:rsidRPr="00337E58" w:rsidRDefault="00EB5AE8" w:rsidP="00EB5AE8">
      <w:pPr>
        <w:numPr>
          <w:ilvl w:val="0"/>
          <w:numId w:val="73"/>
        </w:numPr>
      </w:pPr>
      <w:r w:rsidRPr="00337E58">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B89FE49" w14:textId="77777777" w:rsidR="00EB5AE8" w:rsidRPr="00337E58" w:rsidRDefault="00EB5AE8" w:rsidP="00EB5AE8">
      <w:pPr>
        <w:ind w:left="1080"/>
      </w:pPr>
    </w:p>
    <w:p w14:paraId="47ECEB7E" w14:textId="77777777" w:rsidR="00EB5AE8" w:rsidRPr="00337E58" w:rsidRDefault="00EB5AE8" w:rsidP="00EB5AE8">
      <w:pPr>
        <w:numPr>
          <w:ilvl w:val="0"/>
          <w:numId w:val="73"/>
        </w:numPr>
      </w:pPr>
      <w:r w:rsidRPr="00337E58">
        <w:t>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67132AB8" w14:textId="77777777" w:rsidR="00EB5AE8" w:rsidRPr="00337E58" w:rsidRDefault="00EB5AE8" w:rsidP="00EB5AE8"/>
    <w:p w14:paraId="655ACEE6" w14:textId="77777777" w:rsidR="00EB5AE8" w:rsidRPr="00337E58" w:rsidRDefault="00EB5AE8" w:rsidP="00EB5AE8">
      <w:pPr>
        <w:numPr>
          <w:ilvl w:val="0"/>
          <w:numId w:val="73"/>
        </w:numPr>
      </w:pPr>
      <w:r w:rsidRPr="00337E58">
        <w:t xml:space="preserve">The licensee may, upon the approval of the Department following the successful demonstration of compliance </w:t>
      </w:r>
      <w:proofErr w:type="gramStart"/>
      <w:r w:rsidRPr="00337E58">
        <w:t>at</w:t>
      </w:r>
      <w:proofErr w:type="gramEnd"/>
      <w:r w:rsidRPr="00337E58">
        <w:t xml:space="preserve"> alternative load conditions, operate under such alternative load conditions on an interim basis prior to a demonstration of compliance under normal and representative process and operating conditions.</w:t>
      </w:r>
    </w:p>
    <w:p w14:paraId="67C049A2" w14:textId="77777777" w:rsidR="00EB5AE8" w:rsidRPr="00337E58" w:rsidRDefault="00EB5AE8" w:rsidP="00EB5AE8">
      <w:pPr>
        <w:ind w:left="720"/>
      </w:pPr>
      <w:r w:rsidRPr="00337E58">
        <w:t>[06-096 C.M.R. ch. 115]</w:t>
      </w:r>
    </w:p>
    <w:p w14:paraId="56D5C443" w14:textId="77777777" w:rsidR="00EB5AE8" w:rsidRPr="00337E58" w:rsidRDefault="00EB5AE8" w:rsidP="00EB5AE8"/>
    <w:p w14:paraId="61D71435" w14:textId="77777777" w:rsidR="004C1A78" w:rsidRPr="00337E58" w:rsidRDefault="00EB5AE8" w:rsidP="004C1A78">
      <w:pPr>
        <w:pStyle w:val="ListParagraph"/>
        <w:numPr>
          <w:ilvl w:val="0"/>
          <w:numId w:val="74"/>
        </w:numPr>
        <w:tabs>
          <w:tab w:val="num" w:pos="720"/>
        </w:tabs>
        <w:ind w:hanging="720"/>
      </w:pPr>
      <w:r w:rsidRPr="00337E58">
        <w:t xml:space="preserve">Notwithstanding any other provisions in the State Implementation Plan approved by the EPA or Section 114(a) of the CAA, any credible evidence may be used for the purpose of </w:t>
      </w:r>
      <w:r w:rsidRPr="00337E58">
        <w:lastRenderedPageBreak/>
        <w:t>establishing whether a person has violated or is in violation of any statute, regulation, or license requirement. [06-096 C.M.R. ch. 115]</w:t>
      </w:r>
    </w:p>
    <w:p w14:paraId="132F153D" w14:textId="77777777" w:rsidR="004C1A78" w:rsidRPr="00337E58" w:rsidRDefault="004C1A78" w:rsidP="004C1A78">
      <w:pPr>
        <w:pStyle w:val="ListParagraph"/>
      </w:pPr>
    </w:p>
    <w:p w14:paraId="104E92CA" w14:textId="77777777" w:rsidR="004C1A78" w:rsidRPr="00337E58" w:rsidRDefault="00EB5AE8" w:rsidP="004C1A78">
      <w:pPr>
        <w:pStyle w:val="ListParagraph"/>
        <w:numPr>
          <w:ilvl w:val="0"/>
          <w:numId w:val="74"/>
        </w:numPr>
        <w:tabs>
          <w:tab w:val="num" w:pos="720"/>
        </w:tabs>
        <w:ind w:hanging="720"/>
      </w:pPr>
      <w:r w:rsidRPr="00337E58">
        <w:t>The licensee shall maintain records of malfunctions, failures, downtime, and any other similar change in operation of air pollution control systems or the emissions unit itself that would affect emissions and that is not consistent with the terms and conditions of the air emission license. The licensee shall notify the Department within two (2) days or the next state working day, whichever is later, of such occasions where such changes result in an increase of emissions. The licensee shall report all excess emissions in the units of the applicable emission limitation. [06-096 C.M.R. ch. 115]</w:t>
      </w:r>
    </w:p>
    <w:p w14:paraId="316209C1" w14:textId="77777777" w:rsidR="004C1A78" w:rsidRPr="00337E58" w:rsidRDefault="004C1A78" w:rsidP="004C1A78">
      <w:pPr>
        <w:pStyle w:val="ListParagraph"/>
      </w:pPr>
    </w:p>
    <w:p w14:paraId="191CF7B3" w14:textId="77777777" w:rsidR="004C1A78" w:rsidRPr="00337E58" w:rsidRDefault="00EB5AE8" w:rsidP="004C1A78">
      <w:pPr>
        <w:pStyle w:val="ListParagraph"/>
        <w:numPr>
          <w:ilvl w:val="0"/>
          <w:numId w:val="74"/>
        </w:numPr>
        <w:tabs>
          <w:tab w:val="num" w:pos="720"/>
        </w:tabs>
        <w:ind w:hanging="720"/>
      </w:pPr>
      <w:r w:rsidRPr="00337E58">
        <w:t>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[06</w:t>
      </w:r>
      <w:r w:rsidR="004C1A78" w:rsidRPr="00337E58">
        <w:noBreakHyphen/>
      </w:r>
      <w:r w:rsidRPr="00337E58">
        <w:t>096</w:t>
      </w:r>
      <w:r w:rsidR="004C1A78" w:rsidRPr="00337E58">
        <w:t> </w:t>
      </w:r>
      <w:r w:rsidRPr="00337E58">
        <w:t>C.M.R. ch. 115]</w:t>
      </w:r>
    </w:p>
    <w:p w14:paraId="0757458E" w14:textId="77777777" w:rsidR="004C1A78" w:rsidRPr="00337E58" w:rsidRDefault="004C1A78" w:rsidP="004C1A78">
      <w:pPr>
        <w:pStyle w:val="ListParagraph"/>
      </w:pPr>
    </w:p>
    <w:p w14:paraId="3A13FC8D" w14:textId="77777777" w:rsidR="00EB5AE8" w:rsidRPr="00337E58" w:rsidRDefault="00EB5AE8" w:rsidP="004C1A78">
      <w:pPr>
        <w:pStyle w:val="ListParagraph"/>
        <w:numPr>
          <w:ilvl w:val="0"/>
          <w:numId w:val="74"/>
        </w:numPr>
        <w:tabs>
          <w:tab w:val="num" w:pos="720"/>
        </w:tabs>
        <w:ind w:hanging="720"/>
      </w:pPr>
      <w:r w:rsidRPr="00337E58">
        <w:t xml:space="preserve">The licensee shall notify the Department within 48 hours and submit a report to the Department on a quarterly basis if a malfunction or breakdown in any component causes a violation of any emission standard (38 M.R.S. § 605). </w:t>
      </w:r>
    </w:p>
    <w:p w14:paraId="2BCC8E42" w14:textId="77777777" w:rsidR="00EB5AE8" w:rsidRPr="00337E58" w:rsidRDefault="00EB5AE8" w:rsidP="00EB5AE8"/>
    <w:p w14:paraId="617A3611" w14:textId="77777777" w:rsidR="00EB5AE8" w:rsidRPr="00337E58" w:rsidRDefault="004C1A78" w:rsidP="004C1A78">
      <w:pPr>
        <w:pStyle w:val="OrderHead2"/>
      </w:pPr>
      <w:r w:rsidRPr="00337E58">
        <w:t>SPECIFIC CONDITIONS</w:t>
      </w:r>
    </w:p>
    <w:p w14:paraId="2A42DBB5" w14:textId="77777777" w:rsidR="00EB5AE8" w:rsidRPr="00337E58" w:rsidRDefault="00EB5AE8" w:rsidP="006E35A9">
      <w:pPr>
        <w:jc w:val="left"/>
      </w:pPr>
    </w:p>
    <w:p w14:paraId="12814D8D" w14:textId="3A985C2A" w:rsidR="006A57E3" w:rsidRPr="00337E58" w:rsidRDefault="006A57E3" w:rsidP="006A57E3">
      <w:pPr>
        <w:pStyle w:val="OrderCondition"/>
      </w:pPr>
      <w:r w:rsidRPr="00337E58">
        <w:t>G</w:t>
      </w:r>
      <w:r w:rsidR="000B4F55" w:rsidRPr="00337E58">
        <w:t>EN #102-01 and GEN #102-02</w:t>
      </w:r>
    </w:p>
    <w:p w14:paraId="0588DFE9" w14:textId="77777777" w:rsidR="006A57E3" w:rsidRPr="00337E58" w:rsidRDefault="006A57E3" w:rsidP="006A57E3">
      <w:pPr>
        <w:ind w:left="720"/>
      </w:pPr>
    </w:p>
    <w:p w14:paraId="6F029E45" w14:textId="5475B1DE" w:rsidR="006A57E3" w:rsidRPr="00337E58" w:rsidRDefault="000B4F55" w:rsidP="006A57E3">
      <w:pPr>
        <w:numPr>
          <w:ilvl w:val="0"/>
          <w:numId w:val="103"/>
        </w:numPr>
        <w:tabs>
          <w:tab w:val="left" w:pos="720"/>
          <w:tab w:val="left" w:pos="1080"/>
        </w:tabs>
        <w:contextualSpacing/>
      </w:pPr>
      <w:r w:rsidRPr="00337E58">
        <w:rPr>
          <w:bCs/>
          <w:iCs/>
        </w:rPr>
        <w:t>GEN #102-01 and GEN #102-02</w:t>
      </w:r>
      <w:r w:rsidR="006A57E3" w:rsidRPr="00337E58">
        <w:t xml:space="preserve"> shall</w:t>
      </w:r>
      <w:r w:rsidRPr="00337E58">
        <w:t xml:space="preserve"> each </w:t>
      </w:r>
      <w:r w:rsidR="006A57E3" w:rsidRPr="00337E58">
        <w:t>be limited to 100 hours of operation per calendar year, excluding operating hours during emergency situations. [06-096 C.M.R. ch. 115, BPT]</w:t>
      </w:r>
    </w:p>
    <w:p w14:paraId="4A046E67" w14:textId="77777777" w:rsidR="006A57E3" w:rsidRPr="00337E58" w:rsidRDefault="006A57E3" w:rsidP="000B4F55">
      <w:pPr>
        <w:tabs>
          <w:tab w:val="left" w:pos="1080"/>
        </w:tabs>
      </w:pPr>
    </w:p>
    <w:p w14:paraId="1DA1249B" w14:textId="1CBAE922" w:rsidR="006A57E3" w:rsidRPr="00337E58" w:rsidRDefault="000B4F55" w:rsidP="000B4F55">
      <w:pPr>
        <w:numPr>
          <w:ilvl w:val="0"/>
          <w:numId w:val="103"/>
        </w:numPr>
        <w:tabs>
          <w:tab w:val="left" w:pos="1080"/>
        </w:tabs>
        <w:contextualSpacing/>
      </w:pPr>
      <w:r w:rsidRPr="00337E58">
        <w:rPr>
          <w:bCs/>
          <w:iCs/>
        </w:rPr>
        <w:t xml:space="preserve">NSAPH </w:t>
      </w:r>
      <w:r w:rsidR="006A57E3" w:rsidRPr="00337E58">
        <w:t>shall keep records of all maintenance conducted on the engin</w:t>
      </w:r>
      <w:r w:rsidRPr="00337E58">
        <w:t>es</w:t>
      </w:r>
      <w:r w:rsidR="006A57E3" w:rsidRPr="00337E58">
        <w:t xml:space="preserve"> associated</w:t>
      </w:r>
      <w:r w:rsidRPr="00337E58">
        <w:t xml:space="preserve"> </w:t>
      </w:r>
      <w:r w:rsidR="006A57E3" w:rsidRPr="00337E58">
        <w:t>with</w:t>
      </w:r>
      <w:r w:rsidRPr="00337E58">
        <w:t xml:space="preserve"> </w:t>
      </w:r>
      <w:r w:rsidRPr="00337E58">
        <w:rPr>
          <w:bCs/>
          <w:iCs/>
        </w:rPr>
        <w:t>GEN #102-01 and GEN #102-02</w:t>
      </w:r>
      <w:r w:rsidRPr="00337E58">
        <w:t>.</w:t>
      </w:r>
      <w:r w:rsidR="006A57E3" w:rsidRPr="00337E58">
        <w:t xml:space="preserve"> [06-096 C.M.R. ch. 115, BPT]</w:t>
      </w:r>
    </w:p>
    <w:p w14:paraId="2AB81332" w14:textId="77777777" w:rsidR="006A57E3" w:rsidRPr="00337E58" w:rsidRDefault="006A57E3" w:rsidP="006A57E3">
      <w:pPr>
        <w:tabs>
          <w:tab w:val="left" w:pos="720"/>
          <w:tab w:val="left" w:pos="1080"/>
          <w:tab w:val="left" w:pos="1440"/>
        </w:tabs>
      </w:pPr>
    </w:p>
    <w:p w14:paraId="72C51C9C" w14:textId="1076BF37" w:rsidR="006A57E3" w:rsidRPr="00337E58" w:rsidRDefault="006A57E3" w:rsidP="006A57E3">
      <w:pPr>
        <w:numPr>
          <w:ilvl w:val="0"/>
          <w:numId w:val="103"/>
        </w:numPr>
        <w:tabs>
          <w:tab w:val="left" w:pos="1080"/>
        </w:tabs>
        <w:contextualSpacing/>
      </w:pPr>
      <w:r w:rsidRPr="00337E58">
        <w:t>Emissions shall not exceed the following [06-096 C.M.R. ch. 115, BPT]:</w:t>
      </w:r>
    </w:p>
    <w:p w14:paraId="0EE77666" w14:textId="77777777" w:rsidR="006A57E3" w:rsidRPr="00337E58" w:rsidRDefault="006A57E3" w:rsidP="006A57E3">
      <w:pPr>
        <w:tabs>
          <w:tab w:val="left" w:pos="1440"/>
        </w:tabs>
        <w:ind w:left="2160" w:hanging="1800"/>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90"/>
        <w:gridCol w:w="925"/>
        <w:gridCol w:w="926"/>
        <w:gridCol w:w="926"/>
        <w:gridCol w:w="925"/>
        <w:gridCol w:w="926"/>
        <w:gridCol w:w="926"/>
        <w:gridCol w:w="926"/>
      </w:tblGrid>
      <w:tr w:rsidR="006A57E3" w:rsidRPr="00337E58" w14:paraId="2BE64205" w14:textId="77777777" w:rsidTr="006A57E3">
        <w:trPr>
          <w:tblHeader/>
        </w:trPr>
        <w:tc>
          <w:tcPr>
            <w:tcW w:w="1890" w:type="dxa"/>
            <w:shd w:val="clear" w:color="auto" w:fill="D9D9D9" w:themeFill="background1" w:themeFillShade="D9"/>
            <w:vAlign w:val="bottom"/>
          </w:tcPr>
          <w:p w14:paraId="60B5E5EB" w14:textId="77777777" w:rsidR="006A57E3" w:rsidRPr="00337E58" w:rsidRDefault="006A57E3" w:rsidP="006A57E3">
            <w:pPr>
              <w:keepNext/>
              <w:tabs>
                <w:tab w:val="left" w:pos="360"/>
                <w:tab w:val="left" w:pos="720"/>
                <w:tab w:val="left" w:pos="1080"/>
                <w:tab w:val="left" w:pos="1440"/>
                <w:tab w:val="left" w:pos="1800"/>
                <w:tab w:val="left" w:pos="2160"/>
                <w:tab w:val="left" w:pos="2520"/>
                <w:tab w:val="left" w:pos="2880"/>
              </w:tabs>
              <w:jc w:val="center"/>
              <w:outlineLvl w:val="2"/>
              <w:rPr>
                <w:b/>
              </w:rPr>
            </w:pPr>
            <w:r w:rsidRPr="00337E58">
              <w:rPr>
                <w:b/>
              </w:rPr>
              <w:t>Unit</w:t>
            </w:r>
          </w:p>
        </w:tc>
        <w:tc>
          <w:tcPr>
            <w:tcW w:w="925" w:type="dxa"/>
            <w:shd w:val="clear" w:color="auto" w:fill="D9D9D9" w:themeFill="background1" w:themeFillShade="D9"/>
            <w:vAlign w:val="bottom"/>
          </w:tcPr>
          <w:p w14:paraId="3D42516C"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PM</w:t>
            </w:r>
          </w:p>
          <w:p w14:paraId="343A6909"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6" w:type="dxa"/>
            <w:shd w:val="clear" w:color="auto" w:fill="D9D9D9" w:themeFill="background1" w:themeFillShade="D9"/>
            <w:vAlign w:val="bottom"/>
          </w:tcPr>
          <w:p w14:paraId="3FDC5F14"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PM</w:t>
            </w:r>
            <w:r w:rsidRPr="00337E58">
              <w:rPr>
                <w:b/>
                <w:vertAlign w:val="subscript"/>
              </w:rPr>
              <w:t>10</w:t>
            </w:r>
          </w:p>
          <w:p w14:paraId="04384FD2"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6" w:type="dxa"/>
            <w:shd w:val="clear" w:color="auto" w:fill="D9D9D9" w:themeFill="background1" w:themeFillShade="D9"/>
            <w:vAlign w:val="bottom"/>
          </w:tcPr>
          <w:p w14:paraId="7F5ADEB0"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PM</w:t>
            </w:r>
            <w:r w:rsidRPr="00337E58">
              <w:rPr>
                <w:b/>
                <w:vertAlign w:val="subscript"/>
              </w:rPr>
              <w:t>2.5</w:t>
            </w:r>
          </w:p>
          <w:p w14:paraId="5C1DF701"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5" w:type="dxa"/>
            <w:shd w:val="clear" w:color="auto" w:fill="D9D9D9" w:themeFill="background1" w:themeFillShade="D9"/>
            <w:vAlign w:val="bottom"/>
          </w:tcPr>
          <w:p w14:paraId="0499BEF4"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SO</w:t>
            </w:r>
            <w:r w:rsidRPr="00337E58">
              <w:rPr>
                <w:b/>
                <w:vertAlign w:val="subscript"/>
              </w:rPr>
              <w:t>2</w:t>
            </w:r>
          </w:p>
          <w:p w14:paraId="193F4519"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6" w:type="dxa"/>
            <w:shd w:val="clear" w:color="auto" w:fill="D9D9D9" w:themeFill="background1" w:themeFillShade="D9"/>
            <w:vAlign w:val="bottom"/>
          </w:tcPr>
          <w:p w14:paraId="2B4A9B3D"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vertAlign w:val="subscript"/>
              </w:rPr>
            </w:pPr>
            <w:r w:rsidRPr="00337E58">
              <w:rPr>
                <w:b/>
              </w:rPr>
              <w:t>NO</w:t>
            </w:r>
            <w:r w:rsidRPr="00337E58">
              <w:rPr>
                <w:b/>
                <w:vertAlign w:val="subscript"/>
              </w:rPr>
              <w:t>x</w:t>
            </w:r>
          </w:p>
          <w:p w14:paraId="68322DC1"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6" w:type="dxa"/>
            <w:shd w:val="clear" w:color="auto" w:fill="D9D9D9" w:themeFill="background1" w:themeFillShade="D9"/>
            <w:vAlign w:val="bottom"/>
          </w:tcPr>
          <w:p w14:paraId="68122099"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CO</w:t>
            </w:r>
          </w:p>
          <w:p w14:paraId="1A798578"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c>
          <w:tcPr>
            <w:tcW w:w="926" w:type="dxa"/>
            <w:shd w:val="clear" w:color="auto" w:fill="D9D9D9" w:themeFill="background1" w:themeFillShade="D9"/>
            <w:vAlign w:val="bottom"/>
          </w:tcPr>
          <w:p w14:paraId="4302180C"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VOC</w:t>
            </w:r>
          </w:p>
          <w:p w14:paraId="42615AD4" w14:textId="77777777" w:rsidR="006A57E3" w:rsidRPr="00337E58" w:rsidRDefault="006A57E3" w:rsidP="006A57E3">
            <w:pPr>
              <w:tabs>
                <w:tab w:val="left" w:pos="360"/>
                <w:tab w:val="left" w:pos="720"/>
                <w:tab w:val="left" w:pos="1080"/>
                <w:tab w:val="left" w:pos="1440"/>
                <w:tab w:val="left" w:pos="1800"/>
                <w:tab w:val="left" w:pos="2160"/>
                <w:tab w:val="left" w:pos="2520"/>
                <w:tab w:val="left" w:pos="2880"/>
              </w:tabs>
              <w:jc w:val="center"/>
              <w:rPr>
                <w:b/>
              </w:rPr>
            </w:pPr>
            <w:r w:rsidRPr="00337E58">
              <w:rPr>
                <w:b/>
              </w:rPr>
              <w:t>(lb/hr)</w:t>
            </w:r>
          </w:p>
        </w:tc>
      </w:tr>
      <w:tr w:rsidR="00646CEC" w:rsidRPr="00337E58" w14:paraId="08DF88DA" w14:textId="77777777" w:rsidTr="006A57E3">
        <w:tc>
          <w:tcPr>
            <w:tcW w:w="1890" w:type="dxa"/>
            <w:vAlign w:val="center"/>
          </w:tcPr>
          <w:p w14:paraId="3B7F8CD6" w14:textId="5AD695A8" w:rsidR="00646CEC" w:rsidRPr="00337E58" w:rsidRDefault="002F1D70" w:rsidP="00646CEC">
            <w:r w:rsidRPr="00337E58">
              <w:t>GEN #102-01</w:t>
            </w:r>
          </w:p>
        </w:tc>
        <w:tc>
          <w:tcPr>
            <w:tcW w:w="925" w:type="dxa"/>
            <w:vAlign w:val="center"/>
          </w:tcPr>
          <w:p w14:paraId="274AD179" w14:textId="157C2235"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6" w:type="dxa"/>
            <w:vAlign w:val="center"/>
          </w:tcPr>
          <w:p w14:paraId="7C52DFBA" w14:textId="563915BB"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6" w:type="dxa"/>
            <w:vAlign w:val="center"/>
          </w:tcPr>
          <w:p w14:paraId="125DDB6F" w14:textId="670395E6"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5" w:type="dxa"/>
            <w:vAlign w:val="center"/>
          </w:tcPr>
          <w:p w14:paraId="35B7E45A" w14:textId="0F9A9923"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w:t>
            </w:r>
          </w:p>
        </w:tc>
        <w:tc>
          <w:tcPr>
            <w:tcW w:w="926" w:type="dxa"/>
            <w:vAlign w:val="center"/>
          </w:tcPr>
          <w:p w14:paraId="6AC01EEB" w14:textId="38F17B81"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12.92</w:t>
            </w:r>
          </w:p>
        </w:tc>
        <w:tc>
          <w:tcPr>
            <w:tcW w:w="926" w:type="dxa"/>
            <w:vAlign w:val="center"/>
          </w:tcPr>
          <w:p w14:paraId="676F0F7C" w14:textId="231BC8A6"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2.78</w:t>
            </w:r>
          </w:p>
        </w:tc>
        <w:tc>
          <w:tcPr>
            <w:tcW w:w="926" w:type="dxa"/>
            <w:vAlign w:val="center"/>
          </w:tcPr>
          <w:p w14:paraId="2AB1FA64" w14:textId="7BED5866"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1.05</w:t>
            </w:r>
          </w:p>
        </w:tc>
      </w:tr>
      <w:tr w:rsidR="00646CEC" w:rsidRPr="00337E58" w14:paraId="0204573B" w14:textId="77777777" w:rsidTr="006A57E3">
        <w:tc>
          <w:tcPr>
            <w:tcW w:w="1890" w:type="dxa"/>
            <w:vAlign w:val="center"/>
          </w:tcPr>
          <w:p w14:paraId="0291C15B" w14:textId="3192BC09" w:rsidR="00646CEC" w:rsidRPr="00337E58" w:rsidRDefault="002F1D70" w:rsidP="00646CEC">
            <w:r w:rsidRPr="00337E58">
              <w:t>GEN #102-02</w:t>
            </w:r>
          </w:p>
        </w:tc>
        <w:tc>
          <w:tcPr>
            <w:tcW w:w="925" w:type="dxa"/>
            <w:vAlign w:val="center"/>
          </w:tcPr>
          <w:p w14:paraId="2CB36F57" w14:textId="5B6547ED"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6" w:type="dxa"/>
            <w:vAlign w:val="center"/>
          </w:tcPr>
          <w:p w14:paraId="7AC327AF" w14:textId="57852723"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6" w:type="dxa"/>
            <w:vAlign w:val="center"/>
          </w:tcPr>
          <w:p w14:paraId="2BD65591" w14:textId="2A3B53F7"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0.35</w:t>
            </w:r>
          </w:p>
        </w:tc>
        <w:tc>
          <w:tcPr>
            <w:tcW w:w="925" w:type="dxa"/>
            <w:vAlign w:val="center"/>
          </w:tcPr>
          <w:p w14:paraId="589D7237" w14:textId="4110F3F0"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w:t>
            </w:r>
          </w:p>
        </w:tc>
        <w:tc>
          <w:tcPr>
            <w:tcW w:w="926" w:type="dxa"/>
            <w:vAlign w:val="center"/>
          </w:tcPr>
          <w:p w14:paraId="2B33A051" w14:textId="426B036C"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12.92</w:t>
            </w:r>
          </w:p>
        </w:tc>
        <w:tc>
          <w:tcPr>
            <w:tcW w:w="926" w:type="dxa"/>
            <w:vAlign w:val="center"/>
          </w:tcPr>
          <w:p w14:paraId="769A1253" w14:textId="1E6F19C8"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2.78</w:t>
            </w:r>
          </w:p>
        </w:tc>
        <w:tc>
          <w:tcPr>
            <w:tcW w:w="926" w:type="dxa"/>
            <w:vAlign w:val="center"/>
          </w:tcPr>
          <w:p w14:paraId="0FBDDE43" w14:textId="273CD570" w:rsidR="00646CEC" w:rsidRPr="00337E58" w:rsidRDefault="00646CEC" w:rsidP="00646CEC">
            <w:pPr>
              <w:tabs>
                <w:tab w:val="left" w:pos="360"/>
                <w:tab w:val="left" w:pos="720"/>
                <w:tab w:val="left" w:pos="1080"/>
                <w:tab w:val="left" w:pos="1440"/>
                <w:tab w:val="left" w:pos="1800"/>
                <w:tab w:val="left" w:pos="2160"/>
                <w:tab w:val="left" w:pos="2520"/>
                <w:tab w:val="left" w:pos="2880"/>
              </w:tabs>
              <w:jc w:val="center"/>
            </w:pPr>
            <w:r w:rsidRPr="00337E58">
              <w:t>1.05</w:t>
            </w:r>
          </w:p>
        </w:tc>
      </w:tr>
    </w:tbl>
    <w:p w14:paraId="356CEB9F" w14:textId="77777777" w:rsidR="006A57E3" w:rsidRPr="00337E58" w:rsidRDefault="006A57E3" w:rsidP="002F1D70">
      <w:pPr>
        <w:tabs>
          <w:tab w:val="left" w:pos="1080"/>
        </w:tabs>
        <w:contextualSpacing/>
      </w:pPr>
    </w:p>
    <w:p w14:paraId="2E9805A2" w14:textId="77777777" w:rsidR="006A57E3" w:rsidRPr="00337E58" w:rsidRDefault="006A57E3" w:rsidP="006A57E3">
      <w:pPr>
        <w:numPr>
          <w:ilvl w:val="0"/>
          <w:numId w:val="103"/>
        </w:numPr>
        <w:tabs>
          <w:tab w:val="left" w:pos="1080"/>
        </w:tabs>
        <w:contextualSpacing/>
      </w:pPr>
      <w:r w:rsidRPr="00337E58">
        <w:t>Visible Emissions</w:t>
      </w:r>
    </w:p>
    <w:p w14:paraId="191CEDA6" w14:textId="77777777" w:rsidR="006A57E3" w:rsidRPr="00337E58" w:rsidRDefault="006A57E3" w:rsidP="006A57E3">
      <w:pPr>
        <w:tabs>
          <w:tab w:val="left" w:pos="1080"/>
        </w:tabs>
        <w:ind w:left="1080"/>
        <w:contextualSpacing/>
      </w:pPr>
    </w:p>
    <w:p w14:paraId="7132A7BF" w14:textId="4DBB4498" w:rsidR="006A57E3" w:rsidRPr="00337E58" w:rsidRDefault="006A57E3" w:rsidP="006A57E3">
      <w:pPr>
        <w:pStyle w:val="BodyTextIndent3"/>
        <w:tabs>
          <w:tab w:val="left" w:pos="1080"/>
          <w:tab w:val="left" w:pos="1440"/>
          <w:tab w:val="left" w:pos="1800"/>
          <w:tab w:val="left" w:pos="2700"/>
        </w:tabs>
        <w:spacing w:after="0"/>
        <w:ind w:left="1080"/>
        <w:rPr>
          <w:sz w:val="24"/>
          <w:szCs w:val="24"/>
        </w:rPr>
      </w:pPr>
      <w:r w:rsidRPr="00337E58">
        <w:rPr>
          <w:sz w:val="24"/>
          <w:szCs w:val="24"/>
        </w:rPr>
        <w:lastRenderedPageBreak/>
        <w:t xml:space="preserve">Visible emissions from </w:t>
      </w:r>
      <w:r w:rsidRPr="00337E58">
        <w:rPr>
          <w:bCs/>
          <w:iCs/>
          <w:sz w:val="24"/>
          <w:szCs w:val="24"/>
        </w:rPr>
        <w:t>each of</w:t>
      </w:r>
      <w:r w:rsidRPr="00337E58">
        <w:rPr>
          <w:sz w:val="24"/>
          <w:szCs w:val="24"/>
        </w:rPr>
        <w:t xml:space="preserve"> </w:t>
      </w:r>
      <w:r w:rsidR="004B6C43" w:rsidRPr="00337E58">
        <w:rPr>
          <w:bCs/>
          <w:iCs/>
          <w:sz w:val="24"/>
          <w:szCs w:val="24"/>
        </w:rPr>
        <w:t>GEN #102-01 and GEN #102-02</w:t>
      </w:r>
      <w:r w:rsidR="004B6C43" w:rsidRPr="00337E58">
        <w:rPr>
          <w:sz w:val="24"/>
          <w:szCs w:val="24"/>
        </w:rPr>
        <w:t xml:space="preserve"> </w:t>
      </w:r>
      <w:r w:rsidRPr="00337E58">
        <w:rPr>
          <w:sz w:val="24"/>
          <w:szCs w:val="24"/>
        </w:rPr>
        <w:t>shall not exceed 20% opacity on a six-minute block average basis.</w:t>
      </w:r>
      <w:r w:rsidRPr="00337E58">
        <w:rPr>
          <w:b/>
          <w:i/>
          <w:sz w:val="24"/>
          <w:szCs w:val="24"/>
        </w:rPr>
        <w:t xml:space="preserve"> </w:t>
      </w:r>
      <w:r w:rsidRPr="00337E58">
        <w:rPr>
          <w:sz w:val="24"/>
          <w:szCs w:val="24"/>
        </w:rPr>
        <w:t>[06-096 C.M.R. ch. 101, § 4(A)(4)]</w:t>
      </w:r>
    </w:p>
    <w:p w14:paraId="2727BDF9" w14:textId="77777777" w:rsidR="006A57E3" w:rsidRPr="00337E58" w:rsidRDefault="006A57E3" w:rsidP="000B4F55">
      <w:pPr>
        <w:tabs>
          <w:tab w:val="left" w:pos="1080"/>
        </w:tabs>
      </w:pPr>
    </w:p>
    <w:p w14:paraId="3AAFC67C" w14:textId="2A7C131D" w:rsidR="006A57E3" w:rsidRPr="00337E58" w:rsidRDefault="006A57E3" w:rsidP="006A57E3">
      <w:pPr>
        <w:numPr>
          <w:ilvl w:val="0"/>
          <w:numId w:val="103"/>
        </w:numPr>
        <w:tabs>
          <w:tab w:val="left" w:pos="720"/>
          <w:tab w:val="left" w:pos="1080"/>
        </w:tabs>
        <w:contextualSpacing/>
      </w:pPr>
      <w:r w:rsidRPr="00337E58">
        <w:t>The Generators shall meet the applicable requirements of 40 C.F.R. Part 60, Subpart</w:t>
      </w:r>
      <w:r w:rsidR="002F1D70" w:rsidRPr="00337E58">
        <w:t> </w:t>
      </w:r>
      <w:r w:rsidRPr="00337E58">
        <w:t>IIII, including the following:</w:t>
      </w:r>
      <w:r w:rsidR="004B6C43" w:rsidRPr="00337E58">
        <w:t xml:space="preserve"> </w:t>
      </w:r>
      <w:r w:rsidRPr="00337E58">
        <w:t>[incorporated under 06-096 C.M.R. ch. 115, BPT</w:t>
      </w:r>
      <w:r w:rsidR="004B6C43" w:rsidRPr="00337E58">
        <w:t>]</w:t>
      </w:r>
    </w:p>
    <w:p w14:paraId="7E0662EF" w14:textId="10709104" w:rsidR="00646CEC" w:rsidRPr="00337E58" w:rsidRDefault="00646CEC">
      <w:pPr>
        <w:jc w:val="left"/>
      </w:pPr>
    </w:p>
    <w:p w14:paraId="318BD43E" w14:textId="63D503F9" w:rsidR="006A57E3" w:rsidRPr="00337E58" w:rsidRDefault="006A57E3" w:rsidP="006A57E3">
      <w:pPr>
        <w:numPr>
          <w:ilvl w:val="0"/>
          <w:numId w:val="104"/>
        </w:numPr>
        <w:tabs>
          <w:tab w:val="left" w:pos="1080"/>
          <w:tab w:val="left" w:pos="1440"/>
        </w:tabs>
        <w:contextualSpacing/>
      </w:pPr>
      <w:r w:rsidRPr="00337E58">
        <w:t xml:space="preserve">Manufacturer Certification </w:t>
      </w:r>
    </w:p>
    <w:p w14:paraId="5C5A2969" w14:textId="0418F475" w:rsidR="006A57E3" w:rsidRPr="00337E58" w:rsidRDefault="006A57E3" w:rsidP="006A57E3">
      <w:pPr>
        <w:tabs>
          <w:tab w:val="left" w:pos="1080"/>
          <w:tab w:val="left" w:pos="1440"/>
        </w:tabs>
        <w:ind w:left="1440"/>
        <w:contextualSpacing/>
      </w:pPr>
      <w:r w:rsidRPr="00337E58">
        <w:t>The engin</w:t>
      </w:r>
      <w:r w:rsidR="004B6C43" w:rsidRPr="00337E58">
        <w:t>es</w:t>
      </w:r>
      <w:r w:rsidRPr="00337E58">
        <w:t xml:space="preserve"> shall be certified by the manufacturer as meeting the emission standards for new nonroad compression ignition engines found in § 60.4202. [40 C.F.R. § 60.4205(b)] </w:t>
      </w:r>
    </w:p>
    <w:p w14:paraId="09F387A6" w14:textId="77777777" w:rsidR="006A57E3" w:rsidRPr="00337E58" w:rsidRDefault="006A57E3" w:rsidP="006A57E3">
      <w:pPr>
        <w:tabs>
          <w:tab w:val="left" w:pos="1080"/>
        </w:tabs>
        <w:ind w:left="1080" w:hanging="360"/>
      </w:pPr>
    </w:p>
    <w:p w14:paraId="5EA7B15C" w14:textId="77777777" w:rsidR="006A57E3" w:rsidRPr="00337E58" w:rsidRDefault="006A57E3" w:rsidP="006A57E3">
      <w:pPr>
        <w:numPr>
          <w:ilvl w:val="0"/>
          <w:numId w:val="104"/>
        </w:numPr>
        <w:tabs>
          <w:tab w:val="left" w:pos="1080"/>
          <w:tab w:val="left" w:pos="1440"/>
        </w:tabs>
        <w:contextualSpacing/>
      </w:pPr>
      <w:r w:rsidRPr="00337E58">
        <w:t xml:space="preserve">Ultra-Low Sulfur Fuel </w:t>
      </w:r>
    </w:p>
    <w:p w14:paraId="624C1041" w14:textId="77FAB077" w:rsidR="006A57E3" w:rsidRPr="00337E58" w:rsidRDefault="006A57E3" w:rsidP="006A57E3">
      <w:pPr>
        <w:tabs>
          <w:tab w:val="left" w:pos="1080"/>
          <w:tab w:val="left" w:pos="1440"/>
        </w:tabs>
        <w:ind w:left="1440"/>
        <w:contextualSpacing/>
      </w:pPr>
      <w:r w:rsidRPr="00337E58">
        <w:t>The fuel fired in the engin</w:t>
      </w:r>
      <w:r w:rsidR="004B6C43" w:rsidRPr="00337E58">
        <w:t>es</w:t>
      </w:r>
      <w:r w:rsidRPr="00337E58">
        <w:t xml:space="preserve"> shall not exceed 15 ppm sulfur (0.0015% sulfur). Compliance with the fuel sulfur content limit shall be demonstrated by </w:t>
      </w:r>
      <w:r w:rsidRPr="00337E58">
        <w:rPr>
          <w:snapToGrid w:val="0"/>
        </w:rPr>
        <w:t>fuel delivery receipts from the supplier, fuel supplier certification, certificate of analysis, or testing of the fuel in the tank on-site</w:t>
      </w:r>
      <w:r w:rsidRPr="00337E58">
        <w:t>.</w:t>
      </w:r>
      <w:r w:rsidRPr="00337E58">
        <w:rPr>
          <w:snapToGrid w:val="0"/>
        </w:rPr>
        <w:t xml:space="preserve"> [</w:t>
      </w:r>
      <w:r w:rsidRPr="00337E58">
        <w:t xml:space="preserve">40 C.F.R. § 60.4207(b) and </w:t>
      </w:r>
      <w:r w:rsidRPr="00337E58">
        <w:rPr>
          <w:snapToGrid w:val="0"/>
        </w:rPr>
        <w:t>06</w:t>
      </w:r>
      <w:r w:rsidRPr="00337E58">
        <w:rPr>
          <w:snapToGrid w:val="0"/>
        </w:rPr>
        <w:noBreakHyphen/>
        <w:t xml:space="preserve">096 </w:t>
      </w:r>
      <w:r w:rsidRPr="00337E58">
        <w:t xml:space="preserve">C.M.R. ch. </w:t>
      </w:r>
      <w:r w:rsidRPr="00337E58">
        <w:rPr>
          <w:snapToGrid w:val="0"/>
        </w:rPr>
        <w:t>115, BPT]</w:t>
      </w:r>
    </w:p>
    <w:p w14:paraId="1B1874CB" w14:textId="77777777" w:rsidR="006A57E3" w:rsidRPr="00337E58" w:rsidRDefault="006A57E3" w:rsidP="006A57E3">
      <w:pPr>
        <w:tabs>
          <w:tab w:val="left" w:pos="1080"/>
        </w:tabs>
        <w:ind w:left="1080" w:hanging="360"/>
      </w:pPr>
    </w:p>
    <w:p w14:paraId="144547CC" w14:textId="77777777" w:rsidR="006A57E3" w:rsidRPr="00337E58" w:rsidRDefault="006A57E3" w:rsidP="006A57E3">
      <w:pPr>
        <w:numPr>
          <w:ilvl w:val="0"/>
          <w:numId w:val="104"/>
        </w:numPr>
        <w:tabs>
          <w:tab w:val="left" w:pos="1080"/>
          <w:tab w:val="left" w:pos="1440"/>
        </w:tabs>
        <w:contextualSpacing/>
      </w:pPr>
      <w:r w:rsidRPr="00337E58">
        <w:t xml:space="preserve">Non-Resettable Hour Meter </w:t>
      </w:r>
    </w:p>
    <w:p w14:paraId="40E00B7E" w14:textId="6D9162C2" w:rsidR="006A57E3" w:rsidRPr="00337E58" w:rsidRDefault="006A57E3" w:rsidP="006A57E3">
      <w:pPr>
        <w:tabs>
          <w:tab w:val="left" w:pos="1080"/>
          <w:tab w:val="left" w:pos="1440"/>
        </w:tabs>
        <w:ind w:left="1440"/>
        <w:contextualSpacing/>
      </w:pPr>
      <w:r w:rsidRPr="00337E58">
        <w:t xml:space="preserve">A non-resettable hour meter shall be installed and operated on </w:t>
      </w:r>
      <w:r w:rsidRPr="00337E58">
        <w:rPr>
          <w:bCs/>
          <w:iCs/>
        </w:rPr>
        <w:t>each</w:t>
      </w:r>
      <w:r w:rsidRPr="00337E58">
        <w:t xml:space="preserve"> engine. [40 C.F.R. § 60.4209(a)]</w:t>
      </w:r>
    </w:p>
    <w:p w14:paraId="6E25A4F5" w14:textId="77777777" w:rsidR="006A57E3" w:rsidRPr="00337E58" w:rsidRDefault="006A57E3" w:rsidP="006A57E3">
      <w:pPr>
        <w:tabs>
          <w:tab w:val="left" w:pos="1080"/>
          <w:tab w:val="left" w:pos="1440"/>
        </w:tabs>
        <w:ind w:left="1440" w:hanging="1440"/>
      </w:pPr>
    </w:p>
    <w:p w14:paraId="35363015" w14:textId="77777777" w:rsidR="006A57E3" w:rsidRPr="00337E58" w:rsidRDefault="006A57E3" w:rsidP="006A57E3">
      <w:pPr>
        <w:numPr>
          <w:ilvl w:val="0"/>
          <w:numId w:val="104"/>
        </w:numPr>
        <w:tabs>
          <w:tab w:val="left" w:pos="1080"/>
          <w:tab w:val="left" w:pos="1440"/>
        </w:tabs>
        <w:contextualSpacing/>
      </w:pPr>
      <w:r w:rsidRPr="00337E58">
        <w:t>Annual Time Limit for Maintenance and Testing</w:t>
      </w:r>
    </w:p>
    <w:p w14:paraId="7ADF70D0" w14:textId="77777777" w:rsidR="006A57E3" w:rsidRPr="00337E58" w:rsidRDefault="006A57E3" w:rsidP="006A57E3">
      <w:pPr>
        <w:tabs>
          <w:tab w:val="left" w:pos="1080"/>
          <w:tab w:val="left" w:pos="1440"/>
        </w:tabs>
        <w:ind w:left="1440"/>
        <w:contextualSpacing/>
      </w:pPr>
    </w:p>
    <w:p w14:paraId="68F7DDF0" w14:textId="44FAD805" w:rsidR="006A57E3" w:rsidRPr="00337E58" w:rsidRDefault="006A57E3" w:rsidP="006A57E3">
      <w:pPr>
        <w:pStyle w:val="ListParagraph"/>
        <w:numPr>
          <w:ilvl w:val="0"/>
          <w:numId w:val="105"/>
        </w:numPr>
        <w:tabs>
          <w:tab w:val="left" w:pos="1080"/>
          <w:tab w:val="left" w:pos="1440"/>
        </w:tabs>
        <w:ind w:left="1800"/>
      </w:pPr>
      <w:r w:rsidRPr="00337E58">
        <w:t>As emergency engi</w:t>
      </w:r>
      <w:r w:rsidR="004B6C43" w:rsidRPr="00337E58">
        <w:t>nes</w:t>
      </w:r>
      <w:r w:rsidRPr="00337E58">
        <w:t>, the uni</w:t>
      </w:r>
      <w:r w:rsidR="004B6C43" w:rsidRPr="00337E58">
        <w:t>ts</w:t>
      </w:r>
      <w:r w:rsidRPr="00337E58">
        <w:t xml:space="preserve"> shall </w:t>
      </w:r>
      <w:r w:rsidRPr="00337E58">
        <w:rPr>
          <w:bCs/>
          <w:iCs/>
        </w:rPr>
        <w:t>each</w:t>
      </w:r>
      <w:r w:rsidRPr="00337E58">
        <w:t xml:space="preserve"> be limited to 100 hours/year for maintenance checks and readiness testing. Up to 50 hours/year of the 100 hours/year may be used in non-emergency situations (this does not include peak shaving, demand response, or to generate income for a facility by providing power to an electric grid or otherwise supply power as part of a financial arrangement with another entity). These limits are based on a calendar year. Compliance shall be demonstrated by records (electronic or written log) of all engine operating hours. [40 C.F.R. § 60.4211(f) and 06</w:t>
      </w:r>
      <w:r w:rsidRPr="00337E58">
        <w:noBreakHyphen/>
        <w:t>096 C.M.R. ch. 115, BPT]</w:t>
      </w:r>
    </w:p>
    <w:p w14:paraId="080A1C21" w14:textId="77777777" w:rsidR="006A57E3" w:rsidRPr="00337E58" w:rsidRDefault="006A57E3" w:rsidP="006A57E3">
      <w:pPr>
        <w:pStyle w:val="ListParagraph"/>
        <w:tabs>
          <w:tab w:val="left" w:pos="1080"/>
          <w:tab w:val="left" w:pos="1440"/>
        </w:tabs>
        <w:ind w:left="1800"/>
      </w:pPr>
    </w:p>
    <w:p w14:paraId="06E5CC99" w14:textId="28B013DB" w:rsidR="006A57E3" w:rsidRPr="00337E58" w:rsidRDefault="004B6C43" w:rsidP="006A57E3">
      <w:pPr>
        <w:pStyle w:val="ListParagraph"/>
        <w:numPr>
          <w:ilvl w:val="0"/>
          <w:numId w:val="105"/>
        </w:numPr>
        <w:tabs>
          <w:tab w:val="left" w:pos="1080"/>
          <w:tab w:val="left" w:pos="1440"/>
        </w:tabs>
        <w:ind w:left="1800"/>
      </w:pPr>
      <w:r w:rsidRPr="00337E58">
        <w:rPr>
          <w:bCs/>
          <w:iCs/>
        </w:rPr>
        <w:t>NSAPH</w:t>
      </w:r>
      <w:r w:rsidR="006A57E3" w:rsidRPr="00337E58">
        <w:t xml:space="preserve"> shall keep records that include the hours of operation of</w:t>
      </w:r>
      <w:r w:rsidRPr="00337E58">
        <w:rPr>
          <w:b/>
          <w:i/>
        </w:rPr>
        <w:t xml:space="preserve"> </w:t>
      </w:r>
      <w:r w:rsidR="006A57E3" w:rsidRPr="00337E58">
        <w:rPr>
          <w:bCs/>
          <w:iCs/>
        </w:rPr>
        <w:t>each</w:t>
      </w:r>
      <w:r w:rsidR="006A57E3" w:rsidRPr="00337E58">
        <w:t xml:space="preserve"> engine recorded through the non-resettable hour meter. Documentation shall include the number of hours </w:t>
      </w:r>
      <w:r w:rsidR="006A57E3" w:rsidRPr="00337E58">
        <w:rPr>
          <w:bCs/>
          <w:iCs/>
        </w:rPr>
        <w:t>each</w:t>
      </w:r>
      <w:r w:rsidR="006A57E3" w:rsidRPr="00337E58">
        <w:t xml:space="preserve"> unit operated for emergency purposes, the number of hours </w:t>
      </w:r>
      <w:r w:rsidR="006A57E3" w:rsidRPr="00337E58">
        <w:rPr>
          <w:bCs/>
          <w:iCs/>
        </w:rPr>
        <w:t>each</w:t>
      </w:r>
      <w:r w:rsidR="006A57E3" w:rsidRPr="00337E58">
        <w:t xml:space="preserve"> unit operated for non-emergency purposes, and the reason </w:t>
      </w:r>
      <w:r w:rsidR="006A57E3" w:rsidRPr="00337E58">
        <w:rPr>
          <w:bCs/>
          <w:iCs/>
        </w:rPr>
        <w:t>each</w:t>
      </w:r>
      <w:r w:rsidR="006A57E3" w:rsidRPr="00337E58">
        <w:t xml:space="preserve"> engine was in operation during each time.</w:t>
      </w:r>
      <w:r w:rsidRPr="00337E58">
        <w:rPr>
          <w:i/>
          <w:iCs/>
          <w:color w:val="00B050"/>
        </w:rPr>
        <w:t xml:space="preserve"> </w:t>
      </w:r>
      <w:r w:rsidR="006A57E3" w:rsidRPr="00337E58">
        <w:t>[</w:t>
      </w:r>
      <w:bookmarkStart w:id="5" w:name="_Hlk129787738"/>
      <w:r w:rsidR="006A57E3" w:rsidRPr="00337E58">
        <w:t>40 C.F.R. § 60.4214(b</w:t>
      </w:r>
      <w:bookmarkEnd w:id="5"/>
      <w:r w:rsidRPr="00337E58">
        <w:t>)]</w:t>
      </w:r>
    </w:p>
    <w:p w14:paraId="38E6BC4F" w14:textId="77777777" w:rsidR="006A57E3" w:rsidRPr="00337E58" w:rsidRDefault="006A57E3" w:rsidP="006A57E3">
      <w:pPr>
        <w:tabs>
          <w:tab w:val="left" w:pos="1080"/>
        </w:tabs>
        <w:ind w:left="1440" w:hanging="1440"/>
      </w:pPr>
    </w:p>
    <w:p w14:paraId="06D2FB6B" w14:textId="77777777" w:rsidR="006A57E3" w:rsidRPr="00337E58" w:rsidRDefault="006A57E3" w:rsidP="006A57E3">
      <w:pPr>
        <w:numPr>
          <w:ilvl w:val="0"/>
          <w:numId w:val="104"/>
        </w:numPr>
        <w:tabs>
          <w:tab w:val="left" w:pos="1080"/>
          <w:tab w:val="left" w:pos="1440"/>
        </w:tabs>
        <w:contextualSpacing/>
      </w:pPr>
      <w:r w:rsidRPr="00337E58">
        <w:t xml:space="preserve">Operation and Maintenance </w:t>
      </w:r>
    </w:p>
    <w:p w14:paraId="6703EDBE" w14:textId="42076D73" w:rsidR="006A57E3" w:rsidRPr="00337E58" w:rsidRDefault="006A57E3" w:rsidP="006A57E3">
      <w:pPr>
        <w:tabs>
          <w:tab w:val="left" w:pos="1080"/>
          <w:tab w:val="left" w:pos="1440"/>
        </w:tabs>
        <w:ind w:left="1440"/>
        <w:contextualSpacing/>
      </w:pPr>
      <w:r w:rsidRPr="00337E58">
        <w:lastRenderedPageBreak/>
        <w:t>The engin</w:t>
      </w:r>
      <w:r w:rsidR="004B6C43" w:rsidRPr="00337E58">
        <w:t>es</w:t>
      </w:r>
      <w:r w:rsidRPr="00337E58">
        <w:t xml:space="preserve"> shall be operated and maintained according to the manufacturer’s emission-related written instructions. </w:t>
      </w:r>
      <w:r w:rsidR="004B6C43" w:rsidRPr="00337E58">
        <w:rPr>
          <w:bCs/>
          <w:iCs/>
        </w:rPr>
        <w:t>NSAPH</w:t>
      </w:r>
      <w:r w:rsidRPr="00337E58">
        <w:rPr>
          <w:b/>
          <w:i/>
        </w:rPr>
        <w:t xml:space="preserve"> </w:t>
      </w:r>
      <w:r w:rsidRPr="00337E58">
        <w:t>may only change those emission</w:t>
      </w:r>
      <w:r w:rsidRPr="00337E58">
        <w:noBreakHyphen/>
        <w:t>related settings that are permitted by the manufacturer. [40 C.F.R. § 60.4211(a)]</w:t>
      </w:r>
    </w:p>
    <w:p w14:paraId="1CC482DE" w14:textId="77777777" w:rsidR="006A57E3" w:rsidRPr="00337E58" w:rsidRDefault="006A57E3" w:rsidP="006A57E3">
      <w:pPr>
        <w:tabs>
          <w:tab w:val="left" w:pos="1080"/>
          <w:tab w:val="left" w:pos="1440"/>
        </w:tabs>
        <w:ind w:left="1440"/>
        <w:contextualSpacing/>
      </w:pPr>
    </w:p>
    <w:p w14:paraId="39DD4741" w14:textId="7EDF8D8E" w:rsidR="006A57E3" w:rsidRPr="00337E58" w:rsidRDefault="004B6C43" w:rsidP="006A57E3">
      <w:pPr>
        <w:pStyle w:val="BodyTextIndent"/>
        <w:tabs>
          <w:tab w:val="left" w:pos="1080"/>
          <w:tab w:val="left" w:pos="1440"/>
        </w:tabs>
        <w:spacing w:after="0"/>
        <w:ind w:left="1440"/>
      </w:pPr>
      <w:r w:rsidRPr="00337E58">
        <w:t>NSAPH</w:t>
      </w:r>
      <w:r w:rsidR="006A57E3" w:rsidRPr="00337E58">
        <w:t xml:space="preserve"> shall have available for review by the Department a copy of the manufacturer’s emission-related written instructions for engine operation and maintenance. [06-096 C.M.R. ch. 115, BPT]</w:t>
      </w:r>
    </w:p>
    <w:p w14:paraId="0B8509C5" w14:textId="77777777" w:rsidR="006A57E3" w:rsidRPr="00337E58" w:rsidRDefault="006A57E3" w:rsidP="006A57E3"/>
    <w:p w14:paraId="2082DA21" w14:textId="77777777" w:rsidR="007D2974" w:rsidRPr="00337E58" w:rsidRDefault="007D2974" w:rsidP="007D2974">
      <w:pPr>
        <w:pStyle w:val="OrderCondition"/>
      </w:pPr>
      <w:r w:rsidRPr="00337E58">
        <w:t>General Process Sources</w:t>
      </w:r>
    </w:p>
    <w:p w14:paraId="56F6E4E0" w14:textId="77777777" w:rsidR="007D2974" w:rsidRPr="00337E58" w:rsidRDefault="007D2974" w:rsidP="007D2974">
      <w:pPr>
        <w:pStyle w:val="BodyTextIndent3"/>
        <w:tabs>
          <w:tab w:val="left" w:pos="2250"/>
        </w:tabs>
        <w:spacing w:after="0"/>
        <w:ind w:left="0" w:right="450"/>
        <w:rPr>
          <w:b/>
          <w:sz w:val="24"/>
          <w:szCs w:val="24"/>
        </w:rPr>
      </w:pPr>
    </w:p>
    <w:p w14:paraId="58B74AC0" w14:textId="77777777" w:rsidR="007D2974" w:rsidRPr="00337E58" w:rsidRDefault="007D2974" w:rsidP="004B6C43">
      <w:pPr>
        <w:pStyle w:val="ListParagraph"/>
        <w:ind w:left="1080"/>
      </w:pPr>
      <w:r w:rsidRPr="00337E58">
        <w:t>Visible emissions from any general process source shall not exceed 20% opacity on a six</w:t>
      </w:r>
      <w:r w:rsidRPr="00337E58">
        <w:noBreakHyphen/>
        <w:t>minute block average basis. [06-096 C.M.R. ch. 101, § 4(B)(4)]</w:t>
      </w:r>
    </w:p>
    <w:p w14:paraId="6561AEE6" w14:textId="77777777" w:rsidR="004C1A78" w:rsidRPr="00337E58" w:rsidRDefault="004C1A78" w:rsidP="007D2974">
      <w:pPr>
        <w:jc w:val="left"/>
      </w:pPr>
    </w:p>
    <w:p w14:paraId="6F7F9A6C" w14:textId="77777777" w:rsidR="004C1A78" w:rsidRPr="00337E58" w:rsidRDefault="007D2974" w:rsidP="007D2974">
      <w:pPr>
        <w:pStyle w:val="OrderCondition"/>
      </w:pPr>
      <w:r w:rsidRPr="00337E58">
        <w:t>Fugitive Emissions</w:t>
      </w:r>
    </w:p>
    <w:p w14:paraId="6F237C67" w14:textId="77777777" w:rsidR="007D2974" w:rsidRPr="00337E58" w:rsidRDefault="007D2974" w:rsidP="007D2974">
      <w:pPr>
        <w:pStyle w:val="BodyTextIndent3"/>
        <w:tabs>
          <w:tab w:val="left" w:pos="90"/>
        </w:tabs>
        <w:spacing w:after="0"/>
        <w:ind w:left="0"/>
        <w:rPr>
          <w:b/>
          <w:sz w:val="24"/>
          <w:szCs w:val="24"/>
        </w:rPr>
      </w:pPr>
    </w:p>
    <w:p w14:paraId="3F685C13" w14:textId="0B3A1F03" w:rsidR="007D2974" w:rsidRPr="00337E58" w:rsidRDefault="004B6C43" w:rsidP="007D2974">
      <w:pPr>
        <w:pStyle w:val="BodyTextIndent3"/>
        <w:numPr>
          <w:ilvl w:val="0"/>
          <w:numId w:val="119"/>
        </w:numPr>
        <w:tabs>
          <w:tab w:val="left" w:pos="90"/>
        </w:tabs>
        <w:spacing w:after="0"/>
        <w:rPr>
          <w:b/>
          <w:sz w:val="24"/>
          <w:szCs w:val="24"/>
        </w:rPr>
      </w:pPr>
      <w:bookmarkStart w:id="6" w:name="_Hlk146787125"/>
      <w:r w:rsidRPr="00337E58">
        <w:rPr>
          <w:sz w:val="24"/>
          <w:szCs w:val="24"/>
        </w:rPr>
        <w:t>NSAPH</w:t>
      </w:r>
      <w:r w:rsidR="007D2974" w:rsidRPr="00337E58">
        <w:rPr>
          <w:sz w:val="24"/>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06-096 C.M.R. ch. 101, § 4(C) for a list of potential reasonable precautions.</w:t>
      </w:r>
    </w:p>
    <w:p w14:paraId="21A12B08" w14:textId="77777777" w:rsidR="007D2974" w:rsidRPr="00337E58" w:rsidRDefault="007D2974" w:rsidP="007D2974">
      <w:pPr>
        <w:pStyle w:val="BodyTextIndent3"/>
        <w:tabs>
          <w:tab w:val="left" w:pos="90"/>
        </w:tabs>
        <w:spacing w:after="0"/>
        <w:ind w:left="1080"/>
        <w:rPr>
          <w:b/>
          <w:sz w:val="24"/>
          <w:szCs w:val="24"/>
        </w:rPr>
      </w:pPr>
    </w:p>
    <w:p w14:paraId="3EFC9B7C" w14:textId="23C34F97" w:rsidR="007D2974" w:rsidRPr="00337E58" w:rsidRDefault="004B6C43" w:rsidP="007D2974">
      <w:pPr>
        <w:pStyle w:val="ListParagraph"/>
        <w:numPr>
          <w:ilvl w:val="0"/>
          <w:numId w:val="119"/>
        </w:numPr>
        <w:rPr>
          <w:b/>
        </w:rPr>
      </w:pPr>
      <w:r w:rsidRPr="00337E58">
        <w:t>NSAPH</w:t>
      </w:r>
      <w:r w:rsidR="007D2974" w:rsidRPr="00337E58">
        <w:t xml:space="preserve"> 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D2974" w:rsidRPr="00337E58">
        <w:rPr>
          <w:bCs/>
        </w:rPr>
        <w:t>40 C.F.R. Part 60, Appendix A, Method 22.</w:t>
      </w:r>
      <w:bookmarkEnd w:id="6"/>
    </w:p>
    <w:p w14:paraId="7BE5CC1E" w14:textId="77777777" w:rsidR="007D2974" w:rsidRPr="00337E58" w:rsidRDefault="007D2974" w:rsidP="007D2974">
      <w:pPr>
        <w:ind w:left="720"/>
      </w:pPr>
    </w:p>
    <w:p w14:paraId="2E06D255" w14:textId="3B7B2734" w:rsidR="004C1A78" w:rsidRPr="00337E58" w:rsidRDefault="007D2974" w:rsidP="004B6C43">
      <w:pPr>
        <w:ind w:left="720"/>
      </w:pPr>
      <w:r w:rsidRPr="00337E58">
        <w:t>[06-096 C.M.R. ch. 101, § 4(C)]</w:t>
      </w:r>
    </w:p>
    <w:p w14:paraId="2CC46A88" w14:textId="77777777" w:rsidR="007D2974" w:rsidRPr="00337E58" w:rsidRDefault="007D2974" w:rsidP="007D2974"/>
    <w:p w14:paraId="0637A9C5" w14:textId="77777777" w:rsidR="004C1A78" w:rsidRPr="00337E58" w:rsidRDefault="007D2974" w:rsidP="007D2974">
      <w:pPr>
        <w:pStyle w:val="OrderCondition"/>
      </w:pPr>
      <w:r w:rsidRPr="00337E58">
        <w:t>Additional Information</w:t>
      </w:r>
    </w:p>
    <w:p w14:paraId="20788D2F" w14:textId="77777777" w:rsidR="004C1A78" w:rsidRPr="00337E58" w:rsidRDefault="004C1A78" w:rsidP="006E35A9">
      <w:pPr>
        <w:jc w:val="left"/>
      </w:pPr>
    </w:p>
    <w:p w14:paraId="4BCD1AC4" w14:textId="37661C60" w:rsidR="004C1A78" w:rsidRPr="00337E58" w:rsidRDefault="007D2974" w:rsidP="007D2974">
      <w:pPr>
        <w:ind w:left="720"/>
      </w:pPr>
      <w:r w:rsidRPr="00337E58">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4B6C43" w:rsidRPr="00337E58">
        <w:t>NSAPH</w:t>
      </w:r>
      <w:r w:rsidRPr="00337E58">
        <w:t xml:space="preserve"> may be required to submit additional information. Upon written request from the Department, </w:t>
      </w:r>
      <w:r w:rsidR="004B6C43" w:rsidRPr="00337E58">
        <w:t>NSAPH</w:t>
      </w:r>
      <w:r w:rsidRPr="00337E58">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[06</w:t>
      </w:r>
      <w:r w:rsidRPr="00337E58">
        <w:noBreakHyphen/>
        <w:t>096 C.M.R. ch. 115, § 2(O)]</w:t>
      </w:r>
    </w:p>
    <w:p w14:paraId="69461332" w14:textId="5BD7179A" w:rsidR="00337E58" w:rsidRPr="00337E58" w:rsidRDefault="00337E58">
      <w:pPr>
        <w:jc w:val="left"/>
      </w:pPr>
    </w:p>
    <w:p w14:paraId="68645114" w14:textId="3D254793" w:rsidR="007D2974" w:rsidRPr="00337E58" w:rsidRDefault="00337E58" w:rsidP="00F40C55">
      <w:pPr>
        <w:jc w:val="left"/>
      </w:pPr>
      <w:r>
        <w:br w:type="page"/>
      </w:r>
      <w:r w:rsidR="00F40C55">
        <w:rPr>
          <w:noProof/>
          <w:u w:val="single"/>
        </w:rPr>
        <w:lastRenderedPageBreak/>
        <w:drawing>
          <wp:anchor distT="0" distB="0" distL="114300" distR="114300" simplePos="0" relativeHeight="251658240" behindDoc="1" locked="0" layoutInCell="1" allowOverlap="1" wp14:anchorId="57561651" wp14:editId="71F2E581">
            <wp:simplePos x="0" y="0"/>
            <wp:positionH relativeFrom="column">
              <wp:posOffset>182880</wp:posOffset>
            </wp:positionH>
            <wp:positionV relativeFrom="paragraph">
              <wp:posOffset>113030</wp:posOffset>
            </wp:positionV>
            <wp:extent cx="3543300" cy="1781175"/>
            <wp:effectExtent l="0" t="0" r="0" b="9525"/>
            <wp:wrapNone/>
            <wp:docPr id="1246975663"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75663"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337E58">
        <w:t xml:space="preserve">DONE AND DATED IN AUGUSTA, MAINE THIS </w:t>
      </w:r>
      <w:r w:rsidR="00F40C55" w:rsidRPr="00F40C55">
        <w:rPr>
          <w:sz w:val="32"/>
          <w:szCs w:val="32"/>
        </w:rPr>
        <w:t>27</w:t>
      </w:r>
      <w:r w:rsidR="00F40C55" w:rsidRPr="00F40C55">
        <w:rPr>
          <w:sz w:val="32"/>
          <w:szCs w:val="32"/>
          <w:vertAlign w:val="superscript"/>
        </w:rPr>
        <w:t>th</w:t>
      </w:r>
      <w:r w:rsidR="007D2974" w:rsidRPr="00337E58">
        <w:t xml:space="preserve"> DAY OF </w:t>
      </w:r>
      <w:proofErr w:type="gramStart"/>
      <w:r w:rsidR="00F40C55" w:rsidRPr="00F40C55">
        <w:rPr>
          <w:sz w:val="32"/>
          <w:szCs w:val="32"/>
        </w:rPr>
        <w:t>APRIL</w:t>
      </w:r>
      <w:r w:rsidR="00F40C55">
        <w:rPr>
          <w:sz w:val="28"/>
          <w:szCs w:val="28"/>
        </w:rPr>
        <w:t>,</w:t>
      </w:r>
      <w:proofErr w:type="gramEnd"/>
      <w:r w:rsidR="007D2974" w:rsidRPr="00337E58">
        <w:t xml:space="preserve"> </w:t>
      </w:r>
      <w:r w:rsidR="004B6C43" w:rsidRPr="00337E58">
        <w:t>2026</w:t>
      </w:r>
      <w:r w:rsidR="007D2974" w:rsidRPr="00337E58">
        <w:t>.</w:t>
      </w:r>
    </w:p>
    <w:p w14:paraId="6B87540A" w14:textId="72CD98B6" w:rsidR="007D2974" w:rsidRPr="00337E58" w:rsidRDefault="007D2974" w:rsidP="007D2974"/>
    <w:p w14:paraId="41AFF36D" w14:textId="77777777" w:rsidR="007D2974" w:rsidRPr="00337E58" w:rsidRDefault="007D2974" w:rsidP="007D2974">
      <w:r w:rsidRPr="00337E58">
        <w:t>DEPARTMENT OF ENVIRONMENTAL PROTECTION</w:t>
      </w:r>
    </w:p>
    <w:p w14:paraId="161A76BD" w14:textId="3CCD77FD" w:rsidR="007D2974" w:rsidRPr="00337E58" w:rsidRDefault="007D2974" w:rsidP="007D2974"/>
    <w:p w14:paraId="1049F7D8" w14:textId="1343BA2D" w:rsidR="007D2974" w:rsidRPr="00337E58" w:rsidRDefault="007D2974" w:rsidP="007D2974"/>
    <w:p w14:paraId="00B5E261" w14:textId="495AD850" w:rsidR="007D2974" w:rsidRPr="00337E58" w:rsidRDefault="007D2974" w:rsidP="007D2974">
      <w:pPr>
        <w:rPr>
          <w:u w:val="single"/>
        </w:rPr>
      </w:pPr>
      <w:r w:rsidRPr="00337E58">
        <w:t>BY:</w:t>
      </w:r>
      <w:r w:rsidRPr="00337E58">
        <w:rPr>
          <w:u w:val="single"/>
        </w:rPr>
        <w:tab/>
      </w:r>
      <w:r w:rsidRPr="00337E58">
        <w:rPr>
          <w:u w:val="single"/>
        </w:rPr>
        <w:tab/>
      </w:r>
      <w:r w:rsidRPr="00337E58">
        <w:rPr>
          <w:u w:val="single"/>
        </w:rPr>
        <w:tab/>
      </w:r>
      <w:r w:rsidRPr="00337E58">
        <w:rPr>
          <w:u w:val="single"/>
        </w:rPr>
        <w:tab/>
      </w:r>
      <w:r w:rsidRPr="00337E58">
        <w:rPr>
          <w:u w:val="single"/>
        </w:rPr>
        <w:tab/>
      </w:r>
      <w:r w:rsidRPr="00337E58">
        <w:rPr>
          <w:u w:val="single"/>
        </w:rPr>
        <w:tab/>
      </w:r>
      <w:r w:rsidRPr="00337E58">
        <w:rPr>
          <w:u w:val="single"/>
        </w:rPr>
        <w:tab/>
        <w:t>for</w:t>
      </w:r>
      <w:r w:rsidRPr="00337E58">
        <w:rPr>
          <w:u w:val="single"/>
        </w:rPr>
        <w:tab/>
      </w:r>
    </w:p>
    <w:p w14:paraId="5CBA4C99" w14:textId="77777777" w:rsidR="007D2974" w:rsidRPr="00337E58" w:rsidRDefault="007D2974" w:rsidP="007D2974">
      <w:r w:rsidRPr="00337E58">
        <w:tab/>
      </w:r>
      <w:r w:rsidRPr="00337E58">
        <w:rPr>
          <w:snapToGrid w:val="0"/>
        </w:rPr>
        <w:t>MELANIE LOYZIM, COMMISSIONER</w:t>
      </w:r>
    </w:p>
    <w:p w14:paraId="72196D9C" w14:textId="77777777" w:rsidR="007D2974" w:rsidRPr="00337E58" w:rsidRDefault="007D2974" w:rsidP="007D2974"/>
    <w:p w14:paraId="548EF1C8" w14:textId="77777777" w:rsidR="007D2974" w:rsidRPr="00337E58" w:rsidRDefault="007D2974" w:rsidP="007D2974">
      <w:pPr>
        <w:rPr>
          <w:b/>
        </w:rPr>
      </w:pPr>
      <w:r w:rsidRPr="00337E58">
        <w:rPr>
          <w:b/>
        </w:rPr>
        <w:t>The term of this license shall be ten (10) years from the signature date above.</w:t>
      </w:r>
    </w:p>
    <w:p w14:paraId="588DF981" w14:textId="77777777" w:rsidR="007D2974" w:rsidRPr="00337E58" w:rsidRDefault="007D2974" w:rsidP="007D2974">
      <w:pPr>
        <w:pStyle w:val="BodyText3"/>
        <w:rPr>
          <w:sz w:val="24"/>
          <w:szCs w:val="24"/>
        </w:rPr>
      </w:pPr>
    </w:p>
    <w:p w14:paraId="59A9A786" w14:textId="77777777" w:rsidR="007D2974" w:rsidRPr="00337E58" w:rsidRDefault="007D2974" w:rsidP="007D2974">
      <w:pPr>
        <w:tabs>
          <w:tab w:val="left" w:pos="0"/>
        </w:tabs>
        <w:rPr>
          <w:rFonts w:ascii="Arial" w:hAnsi="Arial" w:cs="Arial"/>
        </w:rPr>
      </w:pPr>
      <w:r w:rsidRPr="00337E58">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5C8C9B77" w14:textId="77777777" w:rsidR="007D2974" w:rsidRPr="00337E58" w:rsidRDefault="007D2974" w:rsidP="007D2974">
      <w:pPr>
        <w:jc w:val="center"/>
      </w:pPr>
    </w:p>
    <w:p w14:paraId="193511A1" w14:textId="77777777" w:rsidR="007D2974" w:rsidRPr="00337E58" w:rsidRDefault="007D2974" w:rsidP="007D2974">
      <w:pPr>
        <w:jc w:val="center"/>
      </w:pPr>
      <w:r w:rsidRPr="00337E58">
        <w:t>PLEASE NOTE ATTACHED SHEET FOR GUIDANCE ON APPEAL PROCEDURES</w:t>
      </w:r>
    </w:p>
    <w:p w14:paraId="23F20875" w14:textId="77777777" w:rsidR="007D2974" w:rsidRPr="00337E58" w:rsidRDefault="007D2974" w:rsidP="007D2974"/>
    <w:p w14:paraId="173B4879" w14:textId="6BD0A010" w:rsidR="007D2974" w:rsidRPr="00337E58" w:rsidRDefault="007D2974" w:rsidP="007D2974">
      <w:pPr>
        <w:rPr>
          <w:u w:val="single"/>
        </w:rPr>
      </w:pPr>
      <w:r w:rsidRPr="00337E58">
        <w:t>Date of initial receipt of application:</w:t>
      </w:r>
      <w:r w:rsidRPr="00337E58">
        <w:rPr>
          <w:u w:val="single"/>
        </w:rPr>
        <w:tab/>
      </w:r>
      <w:r w:rsidR="004B6C43" w:rsidRPr="00337E58">
        <w:rPr>
          <w:u w:val="single"/>
        </w:rPr>
        <w:t>2/12/2026</w:t>
      </w:r>
      <w:r w:rsidRPr="00337E58">
        <w:rPr>
          <w:u w:val="single"/>
        </w:rPr>
        <w:tab/>
      </w:r>
    </w:p>
    <w:p w14:paraId="585806DF" w14:textId="573CF748" w:rsidR="007D2974" w:rsidRPr="00337E58" w:rsidRDefault="007D2974" w:rsidP="007D2974">
      <w:pPr>
        <w:rPr>
          <w:u w:val="single"/>
        </w:rPr>
      </w:pPr>
      <w:r w:rsidRPr="00337E58">
        <w:t>Date of application acceptance:</w:t>
      </w:r>
      <w:r w:rsidRPr="00337E58">
        <w:rPr>
          <w:u w:val="single"/>
        </w:rPr>
        <w:tab/>
      </w:r>
      <w:r w:rsidR="004B6C43" w:rsidRPr="00337E58">
        <w:rPr>
          <w:u w:val="single"/>
        </w:rPr>
        <w:t>2/17/2026</w:t>
      </w:r>
      <w:r w:rsidRPr="00337E58">
        <w:rPr>
          <w:u w:val="single"/>
        </w:rPr>
        <w:tab/>
      </w:r>
    </w:p>
    <w:p w14:paraId="440C8CB3" w14:textId="77777777" w:rsidR="007D2974" w:rsidRPr="00337E58" w:rsidRDefault="007D2974" w:rsidP="007D2974"/>
    <w:p w14:paraId="307E9A40" w14:textId="003990F8" w:rsidR="007D2974" w:rsidRPr="00337E58" w:rsidRDefault="007D2974" w:rsidP="007D2974">
      <w:r w:rsidRPr="00337E58">
        <w:t xml:space="preserve">This Order </w:t>
      </w:r>
      <w:proofErr w:type="gramStart"/>
      <w:r w:rsidRPr="00337E58">
        <w:t>prepared</w:t>
      </w:r>
      <w:proofErr w:type="gramEnd"/>
      <w:r w:rsidRPr="00337E58">
        <w:t xml:space="preserve"> by </w:t>
      </w:r>
      <w:r w:rsidR="004B6C43" w:rsidRPr="00337E58">
        <w:rPr>
          <w:bCs/>
          <w:iCs/>
        </w:rPr>
        <w:t>Jack Doran</w:t>
      </w:r>
      <w:r w:rsidRPr="00337E58">
        <w:t>, Bureau of Air Quality.</w:t>
      </w:r>
    </w:p>
    <w:p w14:paraId="03F06052" w14:textId="77777777" w:rsidR="004C1A78" w:rsidRPr="004C1A78" w:rsidRDefault="004C1A78" w:rsidP="006E35A9">
      <w:pPr>
        <w:jc w:val="left"/>
      </w:pPr>
    </w:p>
    <w:sectPr w:rsidR="004C1A78" w:rsidRPr="004C1A78" w:rsidSect="005F5B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F851" w14:textId="77777777" w:rsidR="0005281F" w:rsidRDefault="0005281F" w:rsidP="005F5B62">
      <w:r>
        <w:separator/>
      </w:r>
    </w:p>
  </w:endnote>
  <w:endnote w:type="continuationSeparator" w:id="0">
    <w:p w14:paraId="7F86BF7A" w14:textId="77777777" w:rsidR="0005281F" w:rsidRDefault="0005281F"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E0B" w14:textId="77777777" w:rsidR="00420022" w:rsidRDefault="00420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A6D6" w14:textId="77777777" w:rsidR="00420022" w:rsidRDefault="00420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6DF1" w14:textId="77777777" w:rsidR="00420022" w:rsidRDefault="00420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0ED4" w14:textId="77777777" w:rsidR="0005281F" w:rsidRDefault="0005281F" w:rsidP="005F5B62">
      <w:r>
        <w:separator/>
      </w:r>
    </w:p>
  </w:footnote>
  <w:footnote w:type="continuationSeparator" w:id="0">
    <w:p w14:paraId="1CA2B67A" w14:textId="77777777" w:rsidR="0005281F" w:rsidRDefault="0005281F"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2D68" w14:textId="77777777" w:rsidR="00420022" w:rsidRDefault="00420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56920F89" w14:textId="77777777" w:rsidTr="00D42750">
      <w:tc>
        <w:tcPr>
          <w:tcW w:w="4050" w:type="dxa"/>
        </w:tcPr>
        <w:p w14:paraId="0E4DC3A8" w14:textId="37DADAA5" w:rsidR="005F5B62" w:rsidRDefault="0026198C" w:rsidP="005F5B62">
          <w:pPr>
            <w:rPr>
              <w:b/>
            </w:rPr>
          </w:pPr>
          <w:r>
            <w:rPr>
              <w:b/>
            </w:rPr>
            <w:t>Naval Support Activity</w:t>
          </w:r>
          <w:r w:rsidR="00343DCF">
            <w:rPr>
              <w:b/>
            </w:rPr>
            <w:t xml:space="preserve"> (NSA)</w:t>
          </w:r>
        </w:p>
        <w:p w14:paraId="55536CEE" w14:textId="18CA9FB4" w:rsidR="00420022" w:rsidRDefault="00420022" w:rsidP="005F5B62">
          <w:pPr>
            <w:rPr>
              <w:b/>
            </w:rPr>
          </w:pPr>
          <w:r>
            <w:rPr>
              <w:b/>
            </w:rPr>
            <w:t>Prospect Harbour</w:t>
          </w:r>
        </w:p>
      </w:tc>
      <w:tc>
        <w:tcPr>
          <w:tcW w:w="720" w:type="dxa"/>
          <w:tcBorders>
            <w:right w:val="single" w:sz="4" w:space="0" w:color="auto"/>
          </w:tcBorders>
        </w:tcPr>
        <w:p w14:paraId="7C86CA1D" w14:textId="77777777" w:rsidR="005F5B62" w:rsidRDefault="005F5B62" w:rsidP="005F5B62">
          <w:pPr>
            <w:jc w:val="center"/>
            <w:rPr>
              <w:b/>
            </w:rPr>
          </w:pPr>
        </w:p>
      </w:tc>
      <w:tc>
        <w:tcPr>
          <w:tcW w:w="720" w:type="dxa"/>
          <w:gridSpan w:val="2"/>
          <w:tcBorders>
            <w:left w:val="nil"/>
          </w:tcBorders>
        </w:tcPr>
        <w:p w14:paraId="5A04AAB4" w14:textId="77777777" w:rsidR="005F5B62" w:rsidRDefault="005F5B62" w:rsidP="005F5B62">
          <w:pPr>
            <w:jc w:val="center"/>
            <w:rPr>
              <w:b/>
            </w:rPr>
          </w:pPr>
        </w:p>
      </w:tc>
      <w:tc>
        <w:tcPr>
          <w:tcW w:w="3960" w:type="dxa"/>
        </w:tcPr>
        <w:p w14:paraId="0F53BE63" w14:textId="77777777" w:rsidR="005F5B62" w:rsidRDefault="005F5B62" w:rsidP="005F5B62">
          <w:pPr>
            <w:jc w:val="center"/>
            <w:rPr>
              <w:b/>
            </w:rPr>
          </w:pPr>
          <w:r>
            <w:rPr>
              <w:b/>
            </w:rPr>
            <w:t>Departmental</w:t>
          </w:r>
        </w:p>
        <w:p w14:paraId="00159216" w14:textId="58C25AAD" w:rsidR="00420022" w:rsidRDefault="00420022" w:rsidP="005F5B62">
          <w:pPr>
            <w:jc w:val="center"/>
            <w:rPr>
              <w:b/>
            </w:rPr>
          </w:pPr>
          <w:r>
            <w:rPr>
              <w:b/>
            </w:rPr>
            <w:t>Findings of Fact and Order</w:t>
          </w:r>
        </w:p>
      </w:tc>
    </w:tr>
    <w:tr w:rsidR="005F5B62" w14:paraId="69B1E94B" w14:textId="77777777" w:rsidTr="00D42750">
      <w:tc>
        <w:tcPr>
          <w:tcW w:w="4050" w:type="dxa"/>
        </w:tcPr>
        <w:p w14:paraId="3C6AE7CB" w14:textId="2EE1DF5D" w:rsidR="005F5B62" w:rsidRDefault="0026198C" w:rsidP="005F5B62">
          <w:pPr>
            <w:rPr>
              <w:b/>
            </w:rPr>
          </w:pPr>
          <w:r>
            <w:rPr>
              <w:b/>
            </w:rPr>
            <w:t>Hancock</w:t>
          </w:r>
          <w:r w:rsidR="005F5B62">
            <w:rPr>
              <w:b/>
            </w:rPr>
            <w:t xml:space="preserve"> County</w:t>
          </w:r>
        </w:p>
      </w:tc>
      <w:tc>
        <w:tcPr>
          <w:tcW w:w="720" w:type="dxa"/>
          <w:tcBorders>
            <w:right w:val="single" w:sz="4" w:space="0" w:color="auto"/>
          </w:tcBorders>
        </w:tcPr>
        <w:p w14:paraId="6C4B22DF" w14:textId="77777777" w:rsidR="005F5B62" w:rsidRDefault="005F5B62" w:rsidP="005F5B62">
          <w:pPr>
            <w:jc w:val="center"/>
            <w:rPr>
              <w:b/>
            </w:rPr>
          </w:pPr>
        </w:p>
      </w:tc>
      <w:tc>
        <w:tcPr>
          <w:tcW w:w="720" w:type="dxa"/>
          <w:gridSpan w:val="2"/>
          <w:tcBorders>
            <w:left w:val="nil"/>
          </w:tcBorders>
        </w:tcPr>
        <w:p w14:paraId="1985B3D5" w14:textId="77777777" w:rsidR="005F5B62" w:rsidRDefault="005F5B62" w:rsidP="005F5B62">
          <w:pPr>
            <w:jc w:val="center"/>
            <w:rPr>
              <w:b/>
            </w:rPr>
          </w:pPr>
        </w:p>
      </w:tc>
      <w:tc>
        <w:tcPr>
          <w:tcW w:w="3960" w:type="dxa"/>
        </w:tcPr>
        <w:p w14:paraId="3950BEBB" w14:textId="7D735A0F" w:rsidR="005F5B62" w:rsidRDefault="00420022" w:rsidP="005F5B62">
          <w:pPr>
            <w:jc w:val="center"/>
            <w:rPr>
              <w:b/>
            </w:rPr>
          </w:pPr>
          <w:r>
            <w:rPr>
              <w:b/>
            </w:rPr>
            <w:t>Air Emission License</w:t>
          </w:r>
        </w:p>
      </w:tc>
    </w:tr>
    <w:tr w:rsidR="005F5B62" w14:paraId="19255DEA" w14:textId="77777777" w:rsidTr="00D42750">
      <w:tc>
        <w:tcPr>
          <w:tcW w:w="4050" w:type="dxa"/>
        </w:tcPr>
        <w:p w14:paraId="694FC885" w14:textId="1D75BB64" w:rsidR="005F5B62" w:rsidRDefault="0026198C" w:rsidP="005F5B62">
          <w:pPr>
            <w:rPr>
              <w:b/>
            </w:rPr>
          </w:pPr>
          <w:r>
            <w:rPr>
              <w:b/>
            </w:rPr>
            <w:t>Prospect Harbor</w:t>
          </w:r>
          <w:r w:rsidR="005F5B62">
            <w:rPr>
              <w:b/>
            </w:rPr>
            <w:t>, Maine</w:t>
          </w:r>
        </w:p>
      </w:tc>
      <w:tc>
        <w:tcPr>
          <w:tcW w:w="720" w:type="dxa"/>
          <w:tcBorders>
            <w:right w:val="single" w:sz="4" w:space="0" w:color="auto"/>
          </w:tcBorders>
        </w:tcPr>
        <w:p w14:paraId="34CC9432" w14:textId="77777777" w:rsidR="005F5B62" w:rsidRDefault="005F5B62" w:rsidP="005F5B62">
          <w:pPr>
            <w:jc w:val="center"/>
            <w:rPr>
              <w:b/>
            </w:rPr>
          </w:pPr>
        </w:p>
      </w:tc>
      <w:tc>
        <w:tcPr>
          <w:tcW w:w="720" w:type="dxa"/>
          <w:gridSpan w:val="2"/>
          <w:tcBorders>
            <w:left w:val="nil"/>
          </w:tcBorders>
        </w:tcPr>
        <w:p w14:paraId="275E2200" w14:textId="77777777" w:rsidR="005F5B62" w:rsidRDefault="005F5B62" w:rsidP="005F5B62">
          <w:pPr>
            <w:jc w:val="center"/>
            <w:rPr>
              <w:b/>
            </w:rPr>
          </w:pPr>
        </w:p>
      </w:tc>
      <w:tc>
        <w:tcPr>
          <w:tcW w:w="3960" w:type="dxa"/>
        </w:tcPr>
        <w:p w14:paraId="614B19B0" w14:textId="336FF2D7" w:rsidR="005F5B62" w:rsidRDefault="00420022" w:rsidP="005F5B62">
          <w:pPr>
            <w:jc w:val="center"/>
            <w:rPr>
              <w:b/>
            </w:rPr>
          </w:pPr>
          <w:r>
            <w:rPr>
              <w:b/>
            </w:rPr>
            <w:t>Renewal</w:t>
          </w:r>
        </w:p>
      </w:tc>
    </w:tr>
    <w:tr w:rsidR="005F5B62" w14:paraId="103C08E2" w14:textId="77777777" w:rsidTr="00D42750">
      <w:tc>
        <w:tcPr>
          <w:tcW w:w="4050" w:type="dxa"/>
        </w:tcPr>
        <w:p w14:paraId="49909FD7" w14:textId="12D183DA" w:rsidR="005F5B62" w:rsidRDefault="005F5B62" w:rsidP="005F5B62">
          <w:pPr>
            <w:rPr>
              <w:b/>
            </w:rPr>
          </w:pPr>
          <w:r>
            <w:rPr>
              <w:b/>
            </w:rPr>
            <w:t>A-</w:t>
          </w:r>
          <w:r w:rsidR="0026198C">
            <w:rPr>
              <w:b/>
            </w:rPr>
            <w:t>1121</w:t>
          </w:r>
          <w:r>
            <w:rPr>
              <w:b/>
            </w:rPr>
            <w:t>-71-</w:t>
          </w:r>
          <w:r w:rsidR="0026198C">
            <w:rPr>
              <w:b/>
            </w:rPr>
            <w:t>B</w:t>
          </w:r>
          <w:r>
            <w:rPr>
              <w:b/>
            </w:rPr>
            <w:t>-</w:t>
          </w:r>
          <w:r w:rsidR="0026198C">
            <w:rPr>
              <w:b/>
            </w:rPr>
            <w:t>R</w:t>
          </w:r>
          <w:r>
            <w:rPr>
              <w:b/>
            </w:rPr>
            <w:t xml:space="preserve"> </w:t>
          </w:r>
        </w:p>
      </w:tc>
      <w:tc>
        <w:tcPr>
          <w:tcW w:w="900" w:type="dxa"/>
          <w:gridSpan w:val="2"/>
        </w:tcPr>
        <w:p w14:paraId="4C50E009"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55AF8672" w14:textId="77777777" w:rsidR="005F5B62" w:rsidRDefault="005F5B62" w:rsidP="005F5B62">
          <w:pPr>
            <w:jc w:val="center"/>
            <w:rPr>
              <w:b/>
            </w:rPr>
          </w:pPr>
        </w:p>
      </w:tc>
      <w:tc>
        <w:tcPr>
          <w:tcW w:w="3960" w:type="dxa"/>
        </w:tcPr>
        <w:p w14:paraId="3DB2D256" w14:textId="1143354A" w:rsidR="005F5B62" w:rsidRPr="0026198C" w:rsidRDefault="005F5B62" w:rsidP="00420022">
          <w:pPr>
            <w:rPr>
              <w:b/>
              <w:iCs/>
            </w:rPr>
          </w:pPr>
        </w:p>
      </w:tc>
    </w:tr>
  </w:tbl>
  <w:p w14:paraId="6A2D7F32" w14:textId="77777777" w:rsidR="005F5B62" w:rsidRPr="005F5B62" w:rsidRDefault="005F5B62" w:rsidP="005F5B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3533"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7B4BCD00"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26047349"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13C77BC8"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66E46D56" w14:textId="77777777" w:rsidR="005F5B62" w:rsidRDefault="005F5B62" w:rsidP="005F5B62">
    <w:pPr>
      <w:pStyle w:val="Header"/>
      <w:jc w:val="center"/>
      <w:rPr>
        <w:rFonts w:ascii="Arial" w:hAnsi="Arial" w:cs="Arial"/>
        <w:color w:val="0000FF"/>
      </w:rPr>
    </w:pPr>
  </w:p>
  <w:p w14:paraId="64437998"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0B9CB801" w14:textId="77777777" w:rsidR="005F5B62" w:rsidRDefault="005F5B62" w:rsidP="005F5B62">
    <w:pPr>
      <w:pStyle w:val="Header"/>
    </w:pPr>
  </w:p>
  <w:p w14:paraId="164BB48A"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2BD34F92" w14:textId="77777777" w:rsidTr="00D42750">
      <w:tc>
        <w:tcPr>
          <w:tcW w:w="4068" w:type="dxa"/>
        </w:tcPr>
        <w:p w14:paraId="69A8B411" w14:textId="69CECFDA" w:rsidR="005F5B62" w:rsidRDefault="0026198C" w:rsidP="005F5B62">
          <w:pPr>
            <w:rPr>
              <w:b/>
            </w:rPr>
          </w:pPr>
          <w:r>
            <w:rPr>
              <w:b/>
            </w:rPr>
            <w:t>Naval Support Activity</w:t>
          </w:r>
          <w:r w:rsidR="00343DCF">
            <w:rPr>
              <w:b/>
            </w:rPr>
            <w:t xml:space="preserve"> (NSA)</w:t>
          </w:r>
        </w:p>
        <w:p w14:paraId="7159D21E" w14:textId="09C501AA" w:rsidR="00420022" w:rsidRDefault="00420022" w:rsidP="005F5B62">
          <w:pPr>
            <w:rPr>
              <w:b/>
            </w:rPr>
          </w:pPr>
          <w:r>
            <w:rPr>
              <w:b/>
            </w:rPr>
            <w:t>Prospect Harbour</w:t>
          </w:r>
        </w:p>
      </w:tc>
      <w:tc>
        <w:tcPr>
          <w:tcW w:w="720" w:type="dxa"/>
          <w:tcBorders>
            <w:right w:val="single" w:sz="4" w:space="0" w:color="auto"/>
          </w:tcBorders>
        </w:tcPr>
        <w:p w14:paraId="1DDECDC0" w14:textId="77777777" w:rsidR="005F5B62" w:rsidRDefault="005F5B62" w:rsidP="005F5B62">
          <w:pPr>
            <w:jc w:val="center"/>
            <w:rPr>
              <w:b/>
            </w:rPr>
          </w:pPr>
        </w:p>
      </w:tc>
      <w:tc>
        <w:tcPr>
          <w:tcW w:w="720" w:type="dxa"/>
          <w:tcBorders>
            <w:left w:val="nil"/>
          </w:tcBorders>
        </w:tcPr>
        <w:p w14:paraId="0787F42D" w14:textId="77777777" w:rsidR="005F5B62" w:rsidRDefault="005F5B62" w:rsidP="005F5B62">
          <w:pPr>
            <w:jc w:val="center"/>
            <w:rPr>
              <w:b/>
            </w:rPr>
          </w:pPr>
        </w:p>
      </w:tc>
      <w:tc>
        <w:tcPr>
          <w:tcW w:w="3942" w:type="dxa"/>
        </w:tcPr>
        <w:p w14:paraId="016E560E" w14:textId="77777777" w:rsidR="005F5B62" w:rsidRDefault="005F5B62" w:rsidP="005F5B62">
          <w:pPr>
            <w:jc w:val="center"/>
            <w:rPr>
              <w:b/>
            </w:rPr>
          </w:pPr>
          <w:r>
            <w:rPr>
              <w:b/>
            </w:rPr>
            <w:t>Departmental</w:t>
          </w:r>
        </w:p>
        <w:p w14:paraId="05AF2962" w14:textId="6B48A258" w:rsidR="00420022" w:rsidRDefault="00420022" w:rsidP="005F5B62">
          <w:pPr>
            <w:jc w:val="center"/>
            <w:rPr>
              <w:b/>
            </w:rPr>
          </w:pPr>
          <w:r>
            <w:rPr>
              <w:b/>
            </w:rPr>
            <w:t>Findings of Fact and Order</w:t>
          </w:r>
        </w:p>
      </w:tc>
    </w:tr>
    <w:tr w:rsidR="005F5B62" w14:paraId="726E8229" w14:textId="77777777" w:rsidTr="00D42750">
      <w:tc>
        <w:tcPr>
          <w:tcW w:w="4068" w:type="dxa"/>
        </w:tcPr>
        <w:p w14:paraId="64A06C01" w14:textId="3FC76B2D" w:rsidR="005F5B62" w:rsidRDefault="0026198C" w:rsidP="005F5B62">
          <w:pPr>
            <w:rPr>
              <w:b/>
            </w:rPr>
          </w:pPr>
          <w:r>
            <w:rPr>
              <w:b/>
            </w:rPr>
            <w:t>Hancock</w:t>
          </w:r>
          <w:r w:rsidR="005F5B62">
            <w:rPr>
              <w:b/>
            </w:rPr>
            <w:t xml:space="preserve"> County</w:t>
          </w:r>
        </w:p>
      </w:tc>
      <w:tc>
        <w:tcPr>
          <w:tcW w:w="720" w:type="dxa"/>
          <w:tcBorders>
            <w:right w:val="single" w:sz="4" w:space="0" w:color="auto"/>
          </w:tcBorders>
        </w:tcPr>
        <w:p w14:paraId="795C45A4" w14:textId="77777777" w:rsidR="005F5B62" w:rsidRDefault="005F5B62" w:rsidP="005F5B62">
          <w:pPr>
            <w:jc w:val="center"/>
            <w:rPr>
              <w:b/>
            </w:rPr>
          </w:pPr>
        </w:p>
      </w:tc>
      <w:tc>
        <w:tcPr>
          <w:tcW w:w="720" w:type="dxa"/>
          <w:tcBorders>
            <w:left w:val="nil"/>
          </w:tcBorders>
        </w:tcPr>
        <w:p w14:paraId="63E89844" w14:textId="77777777" w:rsidR="005F5B62" w:rsidRDefault="005F5B62" w:rsidP="005F5B62">
          <w:pPr>
            <w:jc w:val="center"/>
            <w:rPr>
              <w:b/>
            </w:rPr>
          </w:pPr>
        </w:p>
      </w:tc>
      <w:tc>
        <w:tcPr>
          <w:tcW w:w="3942" w:type="dxa"/>
        </w:tcPr>
        <w:p w14:paraId="6D2653EC" w14:textId="6AC61483" w:rsidR="005F5B62" w:rsidRDefault="00420022" w:rsidP="005F5B62">
          <w:pPr>
            <w:jc w:val="center"/>
            <w:rPr>
              <w:b/>
            </w:rPr>
          </w:pPr>
          <w:r>
            <w:rPr>
              <w:b/>
            </w:rPr>
            <w:t>Air Emission License</w:t>
          </w:r>
        </w:p>
      </w:tc>
    </w:tr>
    <w:tr w:rsidR="005F5B62" w14:paraId="5C339A98" w14:textId="77777777" w:rsidTr="00D42750">
      <w:tc>
        <w:tcPr>
          <w:tcW w:w="4068" w:type="dxa"/>
        </w:tcPr>
        <w:p w14:paraId="148461CC" w14:textId="74C1662A" w:rsidR="005F5B62" w:rsidRDefault="0026198C" w:rsidP="005F5B62">
          <w:pPr>
            <w:rPr>
              <w:b/>
            </w:rPr>
          </w:pPr>
          <w:r>
            <w:rPr>
              <w:b/>
            </w:rPr>
            <w:t>Prospect Harbor</w:t>
          </w:r>
          <w:r w:rsidR="005F5B62">
            <w:rPr>
              <w:b/>
            </w:rPr>
            <w:t>, Maine</w:t>
          </w:r>
        </w:p>
      </w:tc>
      <w:tc>
        <w:tcPr>
          <w:tcW w:w="720" w:type="dxa"/>
          <w:tcBorders>
            <w:right w:val="single" w:sz="4" w:space="0" w:color="auto"/>
          </w:tcBorders>
        </w:tcPr>
        <w:p w14:paraId="35A88F2D" w14:textId="77777777" w:rsidR="005F5B62" w:rsidRDefault="005F5B62" w:rsidP="005F5B62">
          <w:pPr>
            <w:jc w:val="center"/>
            <w:rPr>
              <w:b/>
            </w:rPr>
          </w:pPr>
        </w:p>
      </w:tc>
      <w:tc>
        <w:tcPr>
          <w:tcW w:w="720" w:type="dxa"/>
          <w:tcBorders>
            <w:left w:val="nil"/>
          </w:tcBorders>
        </w:tcPr>
        <w:p w14:paraId="1E897071" w14:textId="77777777" w:rsidR="005F5B62" w:rsidRDefault="005F5B62" w:rsidP="005F5B62">
          <w:pPr>
            <w:jc w:val="center"/>
            <w:rPr>
              <w:b/>
            </w:rPr>
          </w:pPr>
        </w:p>
      </w:tc>
      <w:tc>
        <w:tcPr>
          <w:tcW w:w="3942" w:type="dxa"/>
        </w:tcPr>
        <w:p w14:paraId="19AB5048" w14:textId="4D728625" w:rsidR="005F5B62" w:rsidRDefault="00420022" w:rsidP="005F5B62">
          <w:pPr>
            <w:jc w:val="center"/>
            <w:rPr>
              <w:b/>
            </w:rPr>
          </w:pPr>
          <w:r>
            <w:rPr>
              <w:b/>
            </w:rPr>
            <w:t>Renewal</w:t>
          </w:r>
        </w:p>
      </w:tc>
    </w:tr>
    <w:tr w:rsidR="005F5B62" w14:paraId="6A1F57C9" w14:textId="77777777" w:rsidTr="00D42750">
      <w:tc>
        <w:tcPr>
          <w:tcW w:w="4068" w:type="dxa"/>
        </w:tcPr>
        <w:p w14:paraId="42BE9B26" w14:textId="601CF516" w:rsidR="005F5B62" w:rsidRDefault="005F5B62" w:rsidP="005F5B62">
          <w:pPr>
            <w:rPr>
              <w:b/>
            </w:rPr>
          </w:pPr>
          <w:r>
            <w:rPr>
              <w:b/>
            </w:rPr>
            <w:t>A-</w:t>
          </w:r>
          <w:r w:rsidR="0026198C">
            <w:rPr>
              <w:b/>
            </w:rPr>
            <w:t>1121</w:t>
          </w:r>
          <w:r>
            <w:rPr>
              <w:b/>
            </w:rPr>
            <w:t>-71-</w:t>
          </w:r>
          <w:r w:rsidR="0026198C">
            <w:rPr>
              <w:b/>
            </w:rPr>
            <w:t>B</w:t>
          </w:r>
          <w:r>
            <w:rPr>
              <w:b/>
            </w:rPr>
            <w:t>-</w:t>
          </w:r>
          <w:r w:rsidR="0026198C">
            <w:rPr>
              <w:b/>
            </w:rPr>
            <w:t>R</w:t>
          </w:r>
          <w:r>
            <w:rPr>
              <w:b/>
            </w:rPr>
            <w:t xml:space="preserve"> </w:t>
          </w:r>
        </w:p>
      </w:tc>
      <w:tc>
        <w:tcPr>
          <w:tcW w:w="720" w:type="dxa"/>
          <w:tcBorders>
            <w:right w:val="single" w:sz="4" w:space="0" w:color="auto"/>
          </w:tcBorders>
        </w:tcPr>
        <w:p w14:paraId="2552EA28" w14:textId="77777777" w:rsidR="005F5B62" w:rsidRDefault="005F5B62" w:rsidP="005F5B62">
          <w:pPr>
            <w:jc w:val="center"/>
            <w:rPr>
              <w:b/>
            </w:rPr>
          </w:pPr>
        </w:p>
      </w:tc>
      <w:tc>
        <w:tcPr>
          <w:tcW w:w="720" w:type="dxa"/>
          <w:tcBorders>
            <w:left w:val="nil"/>
          </w:tcBorders>
        </w:tcPr>
        <w:p w14:paraId="78EDC2D7" w14:textId="77777777" w:rsidR="005F5B62" w:rsidRDefault="005F5B62" w:rsidP="005F5B62">
          <w:pPr>
            <w:jc w:val="center"/>
            <w:rPr>
              <w:b/>
            </w:rPr>
          </w:pPr>
        </w:p>
      </w:tc>
      <w:tc>
        <w:tcPr>
          <w:tcW w:w="3942" w:type="dxa"/>
        </w:tcPr>
        <w:p w14:paraId="685042CB" w14:textId="713A82FA" w:rsidR="005F5B62" w:rsidRPr="0026198C" w:rsidRDefault="005F5B62" w:rsidP="00420022">
          <w:pPr>
            <w:pStyle w:val="Heading1"/>
            <w:jc w:val="both"/>
            <w:rPr>
              <w:iCs/>
            </w:rPr>
          </w:pPr>
        </w:p>
      </w:tc>
    </w:tr>
  </w:tbl>
  <w:p w14:paraId="4F77A564"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5"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4"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67"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68"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0"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4"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6"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4"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0"/>
  </w:num>
  <w:num w:numId="2" w16cid:durableId="2054573088">
    <w:abstractNumId w:val="49"/>
  </w:num>
  <w:num w:numId="3" w16cid:durableId="1244223055">
    <w:abstractNumId w:val="90"/>
  </w:num>
  <w:num w:numId="4" w16cid:durableId="181092941">
    <w:abstractNumId w:val="74"/>
  </w:num>
  <w:num w:numId="5" w16cid:durableId="654770956">
    <w:abstractNumId w:val="29"/>
  </w:num>
  <w:num w:numId="6" w16cid:durableId="124009826">
    <w:abstractNumId w:val="5"/>
  </w:num>
  <w:num w:numId="7" w16cid:durableId="226690206">
    <w:abstractNumId w:val="40"/>
  </w:num>
  <w:num w:numId="8" w16cid:durableId="1204636668">
    <w:abstractNumId w:val="60"/>
  </w:num>
  <w:num w:numId="9" w16cid:durableId="1320504038">
    <w:abstractNumId w:val="1"/>
  </w:num>
  <w:num w:numId="10" w16cid:durableId="1357079452">
    <w:abstractNumId w:val="34"/>
  </w:num>
  <w:num w:numId="11" w16cid:durableId="1428620295">
    <w:abstractNumId w:val="49"/>
    <w:lvlOverride w:ilvl="0">
      <w:startOverride w:val="1"/>
    </w:lvlOverride>
  </w:num>
  <w:num w:numId="12" w16cid:durableId="1872957401">
    <w:abstractNumId w:val="80"/>
  </w:num>
  <w:num w:numId="13" w16cid:durableId="1025015309">
    <w:abstractNumId w:val="80"/>
    <w:lvlOverride w:ilvl="0">
      <w:startOverride w:val="1"/>
    </w:lvlOverride>
  </w:num>
  <w:num w:numId="14" w16cid:durableId="1868056069">
    <w:abstractNumId w:val="84"/>
  </w:num>
  <w:num w:numId="15" w16cid:durableId="2103182164">
    <w:abstractNumId w:val="28"/>
  </w:num>
  <w:num w:numId="16" w16cid:durableId="205533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5"/>
  </w:num>
  <w:num w:numId="18" w16cid:durableId="947277661">
    <w:abstractNumId w:val="80"/>
    <w:lvlOverride w:ilvl="0">
      <w:startOverride w:val="1"/>
    </w:lvlOverride>
  </w:num>
  <w:num w:numId="19" w16cid:durableId="731586837">
    <w:abstractNumId w:val="36"/>
  </w:num>
  <w:num w:numId="20" w16cid:durableId="1408843827">
    <w:abstractNumId w:val="94"/>
  </w:num>
  <w:num w:numId="21" w16cid:durableId="410080208">
    <w:abstractNumId w:val="88"/>
  </w:num>
  <w:num w:numId="22" w16cid:durableId="182328962">
    <w:abstractNumId w:val="77"/>
  </w:num>
  <w:num w:numId="23" w16cid:durableId="1080448253">
    <w:abstractNumId w:val="101"/>
  </w:num>
  <w:num w:numId="24" w16cid:durableId="1440181464">
    <w:abstractNumId w:val="16"/>
  </w:num>
  <w:num w:numId="25" w16cid:durableId="1277443034">
    <w:abstractNumId w:val="42"/>
  </w:num>
  <w:num w:numId="26" w16cid:durableId="493452390">
    <w:abstractNumId w:val="54"/>
  </w:num>
  <w:num w:numId="27" w16cid:durableId="1450658014">
    <w:abstractNumId w:val="80"/>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59"/>
  </w:num>
  <w:num w:numId="32" w16cid:durableId="240604711">
    <w:abstractNumId w:val="61"/>
  </w:num>
  <w:num w:numId="33" w16cid:durableId="244270600">
    <w:abstractNumId w:val="9"/>
  </w:num>
  <w:num w:numId="34" w16cid:durableId="1898473591">
    <w:abstractNumId w:val="47"/>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86"/>
  </w:num>
  <w:num w:numId="38" w16cid:durableId="1694376500">
    <w:abstractNumId w:val="83"/>
  </w:num>
  <w:num w:numId="39" w16cid:durableId="535779733">
    <w:abstractNumId w:val="90"/>
    <w:lvlOverride w:ilvl="0">
      <w:startOverride w:val="1"/>
    </w:lvlOverride>
  </w:num>
  <w:num w:numId="40" w16cid:durableId="568156183">
    <w:abstractNumId w:val="2"/>
  </w:num>
  <w:num w:numId="41" w16cid:durableId="1910722763">
    <w:abstractNumId w:val="80"/>
    <w:lvlOverride w:ilvl="0">
      <w:startOverride w:val="1"/>
    </w:lvlOverride>
  </w:num>
  <w:num w:numId="42" w16cid:durableId="429008948">
    <w:abstractNumId w:val="80"/>
    <w:lvlOverride w:ilvl="0">
      <w:startOverride w:val="1"/>
    </w:lvlOverride>
  </w:num>
  <w:num w:numId="43" w16cid:durableId="785080229">
    <w:abstractNumId w:val="22"/>
  </w:num>
  <w:num w:numId="44" w16cid:durableId="2084793961">
    <w:abstractNumId w:val="7"/>
  </w:num>
  <w:num w:numId="45" w16cid:durableId="767627377">
    <w:abstractNumId w:val="89"/>
  </w:num>
  <w:num w:numId="46" w16cid:durableId="2017226646">
    <w:abstractNumId w:val="25"/>
  </w:num>
  <w:num w:numId="47" w16cid:durableId="825628065">
    <w:abstractNumId w:val="91"/>
  </w:num>
  <w:num w:numId="48" w16cid:durableId="2139180983">
    <w:abstractNumId w:val="92"/>
  </w:num>
  <w:num w:numId="49" w16cid:durableId="990714735">
    <w:abstractNumId w:val="73"/>
  </w:num>
  <w:num w:numId="50" w16cid:durableId="280652989">
    <w:abstractNumId w:val="90"/>
    <w:lvlOverride w:ilvl="0">
      <w:startOverride w:val="1"/>
    </w:lvlOverride>
  </w:num>
  <w:num w:numId="51" w16cid:durableId="213809968">
    <w:abstractNumId w:val="80"/>
    <w:lvlOverride w:ilvl="0">
      <w:startOverride w:val="1"/>
    </w:lvlOverride>
  </w:num>
  <w:num w:numId="52" w16cid:durableId="1797942191">
    <w:abstractNumId w:val="80"/>
    <w:lvlOverride w:ilvl="0">
      <w:startOverride w:val="1"/>
    </w:lvlOverride>
  </w:num>
  <w:num w:numId="53" w16cid:durableId="179393141">
    <w:abstractNumId w:val="27"/>
  </w:num>
  <w:num w:numId="54" w16cid:durableId="2035884949">
    <w:abstractNumId w:val="98"/>
  </w:num>
  <w:num w:numId="55" w16cid:durableId="353309572">
    <w:abstractNumId w:val="70"/>
  </w:num>
  <w:num w:numId="56" w16cid:durableId="813062845">
    <w:abstractNumId w:val="41"/>
  </w:num>
  <w:num w:numId="57" w16cid:durableId="1696273416">
    <w:abstractNumId w:val="80"/>
    <w:lvlOverride w:ilvl="0">
      <w:startOverride w:val="1"/>
    </w:lvlOverride>
  </w:num>
  <w:num w:numId="58" w16cid:durableId="1805006860">
    <w:abstractNumId w:val="82"/>
  </w:num>
  <w:num w:numId="59" w16cid:durableId="932468303">
    <w:abstractNumId w:val="71"/>
  </w:num>
  <w:num w:numId="60" w16cid:durableId="453641219">
    <w:abstractNumId w:val="76"/>
  </w:num>
  <w:num w:numId="61" w16cid:durableId="809638547">
    <w:abstractNumId w:val="72"/>
  </w:num>
  <w:num w:numId="62" w16cid:durableId="650135747">
    <w:abstractNumId w:val="90"/>
    <w:lvlOverride w:ilvl="0">
      <w:startOverride w:val="1"/>
    </w:lvlOverride>
  </w:num>
  <w:num w:numId="63" w16cid:durableId="1926498962">
    <w:abstractNumId w:val="90"/>
    <w:lvlOverride w:ilvl="0">
      <w:startOverride w:val="1"/>
    </w:lvlOverride>
  </w:num>
  <w:num w:numId="64" w16cid:durableId="125395979">
    <w:abstractNumId w:val="12"/>
  </w:num>
  <w:num w:numId="65" w16cid:durableId="1958412930">
    <w:abstractNumId w:val="68"/>
  </w:num>
  <w:num w:numId="66" w16cid:durableId="1862088826">
    <w:abstractNumId w:val="100"/>
  </w:num>
  <w:num w:numId="67" w16cid:durableId="688338057">
    <w:abstractNumId w:val="39"/>
  </w:num>
  <w:num w:numId="68" w16cid:durableId="730926114">
    <w:abstractNumId w:val="97"/>
  </w:num>
  <w:num w:numId="69" w16cid:durableId="766929483">
    <w:abstractNumId w:val="45"/>
  </w:num>
  <w:num w:numId="70" w16cid:durableId="804084172">
    <w:abstractNumId w:val="44"/>
  </w:num>
  <w:num w:numId="71" w16cid:durableId="2135518769">
    <w:abstractNumId w:val="67"/>
  </w:num>
  <w:num w:numId="72" w16cid:durableId="440686182">
    <w:abstractNumId w:val="63"/>
  </w:num>
  <w:num w:numId="73" w16cid:durableId="1032731954">
    <w:abstractNumId w:val="93"/>
  </w:num>
  <w:num w:numId="74" w16cid:durableId="537162164">
    <w:abstractNumId w:val="62"/>
  </w:num>
  <w:num w:numId="75" w16cid:durableId="961037047">
    <w:abstractNumId w:val="103"/>
  </w:num>
  <w:num w:numId="76" w16cid:durableId="1753506145">
    <w:abstractNumId w:val="104"/>
  </w:num>
  <w:num w:numId="77" w16cid:durableId="636110738">
    <w:abstractNumId w:val="14"/>
  </w:num>
  <w:num w:numId="78" w16cid:durableId="1459909758">
    <w:abstractNumId w:val="56"/>
  </w:num>
  <w:num w:numId="79" w16cid:durableId="1285650745">
    <w:abstractNumId w:val="64"/>
  </w:num>
  <w:num w:numId="80" w16cid:durableId="402915865">
    <w:abstractNumId w:val="53"/>
  </w:num>
  <w:num w:numId="81" w16cid:durableId="1665665904">
    <w:abstractNumId w:val="46"/>
  </w:num>
  <w:num w:numId="82" w16cid:durableId="1707750122">
    <w:abstractNumId w:val="13"/>
  </w:num>
  <w:num w:numId="83" w16cid:durableId="1472285141">
    <w:abstractNumId w:val="96"/>
  </w:num>
  <w:num w:numId="84" w16cid:durableId="1281569199">
    <w:abstractNumId w:val="78"/>
  </w:num>
  <w:num w:numId="85" w16cid:durableId="2080206862">
    <w:abstractNumId w:val="37"/>
  </w:num>
  <w:num w:numId="86" w16cid:durableId="1892031002">
    <w:abstractNumId w:val="102"/>
  </w:num>
  <w:num w:numId="87" w16cid:durableId="924606090">
    <w:abstractNumId w:val="33"/>
  </w:num>
  <w:num w:numId="88" w16cid:durableId="749237614">
    <w:abstractNumId w:val="50"/>
  </w:num>
  <w:num w:numId="89" w16cid:durableId="1580601967">
    <w:abstractNumId w:val="87"/>
  </w:num>
  <w:num w:numId="90" w16cid:durableId="1552185916">
    <w:abstractNumId w:val="58"/>
  </w:num>
  <w:num w:numId="91" w16cid:durableId="1012998997">
    <w:abstractNumId w:val="99"/>
  </w:num>
  <w:num w:numId="92" w16cid:durableId="1932855890">
    <w:abstractNumId w:val="51"/>
  </w:num>
  <w:num w:numId="93" w16cid:durableId="2140875076">
    <w:abstractNumId w:val="20"/>
  </w:num>
  <w:num w:numId="94" w16cid:durableId="842627360">
    <w:abstractNumId w:val="57"/>
  </w:num>
  <w:num w:numId="95" w16cid:durableId="531722411">
    <w:abstractNumId w:val="18"/>
  </w:num>
  <w:num w:numId="96" w16cid:durableId="1030452222">
    <w:abstractNumId w:val="38"/>
  </w:num>
  <w:num w:numId="97" w16cid:durableId="1539124008">
    <w:abstractNumId w:val="75"/>
  </w:num>
  <w:num w:numId="98" w16cid:durableId="1478379516">
    <w:abstractNumId w:val="3"/>
  </w:num>
  <w:num w:numId="99" w16cid:durableId="2022777956">
    <w:abstractNumId w:val="85"/>
  </w:num>
  <w:num w:numId="100" w16cid:durableId="2093120872">
    <w:abstractNumId w:val="26"/>
  </w:num>
  <w:num w:numId="101" w16cid:durableId="1612393667">
    <w:abstractNumId w:val="48"/>
  </w:num>
  <w:num w:numId="102" w16cid:durableId="883492052">
    <w:abstractNumId w:val="65"/>
  </w:num>
  <w:num w:numId="103" w16cid:durableId="1021593777">
    <w:abstractNumId w:val="32"/>
  </w:num>
  <w:num w:numId="104" w16cid:durableId="779490925">
    <w:abstractNumId w:val="10"/>
  </w:num>
  <w:num w:numId="105" w16cid:durableId="759788910">
    <w:abstractNumId w:val="11"/>
  </w:num>
  <w:num w:numId="106" w16cid:durableId="1511095245">
    <w:abstractNumId w:val="55"/>
  </w:num>
  <w:num w:numId="107" w16cid:durableId="1917939820">
    <w:abstractNumId w:val="15"/>
  </w:num>
  <w:num w:numId="108" w16cid:durableId="132329901">
    <w:abstractNumId w:val="52"/>
  </w:num>
  <w:num w:numId="109" w16cid:durableId="1270428072">
    <w:abstractNumId w:val="17"/>
  </w:num>
  <w:num w:numId="110" w16cid:durableId="579558741">
    <w:abstractNumId w:val="6"/>
  </w:num>
  <w:num w:numId="111" w16cid:durableId="1053769281">
    <w:abstractNumId w:val="95"/>
  </w:num>
  <w:num w:numId="112" w16cid:durableId="654575365">
    <w:abstractNumId w:val="24"/>
  </w:num>
  <w:num w:numId="113" w16cid:durableId="1663970592">
    <w:abstractNumId w:val="8"/>
  </w:num>
  <w:num w:numId="114" w16cid:durableId="1083722067">
    <w:abstractNumId w:val="66"/>
  </w:num>
  <w:num w:numId="115" w16cid:durableId="2042125080">
    <w:abstractNumId w:val="23"/>
  </w:num>
  <w:num w:numId="116" w16cid:durableId="1671062345">
    <w:abstractNumId w:val="31"/>
  </w:num>
  <w:num w:numId="117" w16cid:durableId="730079211">
    <w:abstractNumId w:val="69"/>
  </w:num>
  <w:num w:numId="118" w16cid:durableId="55670402">
    <w:abstractNumId w:val="43"/>
  </w:num>
  <w:num w:numId="119" w16cid:durableId="1137915944">
    <w:abstractNumId w:val="21"/>
  </w:num>
  <w:num w:numId="120" w16cid:durableId="1350838181">
    <w:abstractNumId w:val="79"/>
  </w:num>
  <w:num w:numId="121" w16cid:durableId="1416171667">
    <w:abstractNumId w:val="8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66"/>
    <w:rsid w:val="00002563"/>
    <w:rsid w:val="000374E6"/>
    <w:rsid w:val="0005281F"/>
    <w:rsid w:val="0005514A"/>
    <w:rsid w:val="000B207D"/>
    <w:rsid w:val="000B4F55"/>
    <w:rsid w:val="000B5498"/>
    <w:rsid w:val="000D4892"/>
    <w:rsid w:val="000E1001"/>
    <w:rsid w:val="00105C8A"/>
    <w:rsid w:val="001107DC"/>
    <w:rsid w:val="00123155"/>
    <w:rsid w:val="00156E86"/>
    <w:rsid w:val="0016242B"/>
    <w:rsid w:val="001D351B"/>
    <w:rsid w:val="001F53A1"/>
    <w:rsid w:val="00241F1D"/>
    <w:rsid w:val="00251E40"/>
    <w:rsid w:val="0026198C"/>
    <w:rsid w:val="00264A22"/>
    <w:rsid w:val="00267FFC"/>
    <w:rsid w:val="00292798"/>
    <w:rsid w:val="002B4210"/>
    <w:rsid w:val="002C17A8"/>
    <w:rsid w:val="002C4E69"/>
    <w:rsid w:val="002D4CC6"/>
    <w:rsid w:val="002E5EE9"/>
    <w:rsid w:val="002F1D70"/>
    <w:rsid w:val="002F772A"/>
    <w:rsid w:val="00320C5F"/>
    <w:rsid w:val="00337E58"/>
    <w:rsid w:val="00343DCF"/>
    <w:rsid w:val="00390999"/>
    <w:rsid w:val="00393113"/>
    <w:rsid w:val="00393CA9"/>
    <w:rsid w:val="003D79C3"/>
    <w:rsid w:val="003E6CA9"/>
    <w:rsid w:val="003F1C26"/>
    <w:rsid w:val="00420022"/>
    <w:rsid w:val="00425361"/>
    <w:rsid w:val="00457EEA"/>
    <w:rsid w:val="0048649E"/>
    <w:rsid w:val="004A53F7"/>
    <w:rsid w:val="004B6C43"/>
    <w:rsid w:val="004C1A78"/>
    <w:rsid w:val="004D5AF4"/>
    <w:rsid w:val="004F03EE"/>
    <w:rsid w:val="004F70B4"/>
    <w:rsid w:val="00544CD4"/>
    <w:rsid w:val="00554306"/>
    <w:rsid w:val="00560F50"/>
    <w:rsid w:val="005979FB"/>
    <w:rsid w:val="005B526D"/>
    <w:rsid w:val="005C6658"/>
    <w:rsid w:val="005D2F66"/>
    <w:rsid w:val="005D4F08"/>
    <w:rsid w:val="005F5B62"/>
    <w:rsid w:val="006064DC"/>
    <w:rsid w:val="00616F28"/>
    <w:rsid w:val="00620D33"/>
    <w:rsid w:val="00645933"/>
    <w:rsid w:val="00646CEC"/>
    <w:rsid w:val="0065796A"/>
    <w:rsid w:val="006A57E3"/>
    <w:rsid w:val="006B6D91"/>
    <w:rsid w:val="006E35A9"/>
    <w:rsid w:val="0073311E"/>
    <w:rsid w:val="00735725"/>
    <w:rsid w:val="007638CD"/>
    <w:rsid w:val="007912DA"/>
    <w:rsid w:val="007961AE"/>
    <w:rsid w:val="007C5B34"/>
    <w:rsid w:val="007D2974"/>
    <w:rsid w:val="007E3B85"/>
    <w:rsid w:val="007F0349"/>
    <w:rsid w:val="007F5E18"/>
    <w:rsid w:val="00822772"/>
    <w:rsid w:val="00824665"/>
    <w:rsid w:val="00835A25"/>
    <w:rsid w:val="008B36E5"/>
    <w:rsid w:val="008B4BB0"/>
    <w:rsid w:val="0090298E"/>
    <w:rsid w:val="0091119B"/>
    <w:rsid w:val="00915A14"/>
    <w:rsid w:val="0092745C"/>
    <w:rsid w:val="0094136E"/>
    <w:rsid w:val="00952485"/>
    <w:rsid w:val="009733A5"/>
    <w:rsid w:val="009854ED"/>
    <w:rsid w:val="009E259D"/>
    <w:rsid w:val="00A32F22"/>
    <w:rsid w:val="00A47EFB"/>
    <w:rsid w:val="00A52FA4"/>
    <w:rsid w:val="00A7267E"/>
    <w:rsid w:val="00A76D69"/>
    <w:rsid w:val="00A945BD"/>
    <w:rsid w:val="00AF57E4"/>
    <w:rsid w:val="00B02F5B"/>
    <w:rsid w:val="00B128C6"/>
    <w:rsid w:val="00B4147A"/>
    <w:rsid w:val="00B747EF"/>
    <w:rsid w:val="00B93E22"/>
    <w:rsid w:val="00B97438"/>
    <w:rsid w:val="00BE2774"/>
    <w:rsid w:val="00BF2495"/>
    <w:rsid w:val="00C17C5D"/>
    <w:rsid w:val="00C23DD9"/>
    <w:rsid w:val="00C2505B"/>
    <w:rsid w:val="00C5754E"/>
    <w:rsid w:val="00CA3CAA"/>
    <w:rsid w:val="00CC2482"/>
    <w:rsid w:val="00CD3591"/>
    <w:rsid w:val="00CE4D3A"/>
    <w:rsid w:val="00D02993"/>
    <w:rsid w:val="00D23BB1"/>
    <w:rsid w:val="00D547F5"/>
    <w:rsid w:val="00D579E4"/>
    <w:rsid w:val="00D85243"/>
    <w:rsid w:val="00E114D3"/>
    <w:rsid w:val="00E43CB6"/>
    <w:rsid w:val="00E71C1E"/>
    <w:rsid w:val="00EB53AF"/>
    <w:rsid w:val="00EB5AE8"/>
    <w:rsid w:val="00F060C1"/>
    <w:rsid w:val="00F35039"/>
    <w:rsid w:val="00F40C55"/>
    <w:rsid w:val="00F558C8"/>
    <w:rsid w:val="00F70CF0"/>
    <w:rsid w:val="00F754A0"/>
    <w:rsid w:val="00F9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BC1F"/>
  <w15:chartTrackingRefBased/>
  <w15:docId w15:val="{8B713D8B-D63E-4B3B-BA3F-4486E6E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E"/>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4136</Words>
  <Characters>23166</Characters>
  <Application>Microsoft Office Word</Application>
  <DocSecurity>4</DocSecurity>
  <Lines>965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2026-04-27T17:39:00Z</dcterms:created>
  <dcterms:modified xsi:type="dcterms:W3CDTF">2026-04-27T17:39:00Z</dcterms:modified>
</cp:coreProperties>
</file>