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98EE" w14:textId="77777777" w:rsidR="005F5B62" w:rsidRDefault="005F5B62" w:rsidP="005F5B62">
      <w:pPr>
        <w:pStyle w:val="Heading1"/>
      </w:pPr>
      <w:r>
        <w:t>FINDINGS OF FACT</w:t>
      </w:r>
    </w:p>
    <w:p w14:paraId="513CE49C" w14:textId="77777777" w:rsidR="005F5B62" w:rsidRDefault="005F5B62">
      <w:pPr>
        <w:jc w:val="left"/>
      </w:pPr>
    </w:p>
    <w:p w14:paraId="281B2225" w14:textId="4709474A" w:rsidR="005F5B62" w:rsidRDefault="005F5B62" w:rsidP="005F5B62">
      <w:pPr>
        <w:pStyle w:val="BodyText"/>
      </w:pPr>
      <w:r>
        <w:t xml:space="preserve">After </w:t>
      </w:r>
      <w:proofErr w:type="gramStart"/>
      <w:r>
        <w:t>review of</w:t>
      </w:r>
      <w:proofErr w:type="gramEnd"/>
      <w:r>
        <w:t xml:space="preserve"> the air emission license</w:t>
      </w:r>
      <w:r w:rsidRPr="009C34DC">
        <w:rPr>
          <w:bCs/>
          <w:iCs/>
        </w:rPr>
        <w:t xml:space="preserve"> amendment</w:t>
      </w:r>
      <w:r w:rsidR="009C34DC">
        <w:t xml:space="preserve"> </w:t>
      </w:r>
      <w:r>
        <w:t>application, staff investigation reports, and other documents in the applicant’s file in the Bureau of Air Quality, pursuant to 38 Maine Revised Statutes (M.R.S.) § 344 and § 590, the Maine Department of Environmental Protection (Department) finds the following facts:</w:t>
      </w:r>
    </w:p>
    <w:p w14:paraId="33F9A761" w14:textId="77777777" w:rsidR="005F5B62" w:rsidRDefault="005F5B62">
      <w:pPr>
        <w:jc w:val="left"/>
      </w:pPr>
    </w:p>
    <w:p w14:paraId="0B970816" w14:textId="77777777" w:rsidR="005F5B62" w:rsidRDefault="005F5B62" w:rsidP="005F5B62">
      <w:pPr>
        <w:pStyle w:val="Heading2"/>
      </w:pPr>
      <w:r>
        <w:t>REGISTRATION</w:t>
      </w:r>
    </w:p>
    <w:p w14:paraId="3C1DF149" w14:textId="77777777" w:rsidR="005F5B62" w:rsidRDefault="005F5B62">
      <w:pPr>
        <w:jc w:val="left"/>
      </w:pPr>
    </w:p>
    <w:p w14:paraId="63BE4752" w14:textId="77777777" w:rsidR="005F5B62" w:rsidRDefault="005F5B62" w:rsidP="005F5B62">
      <w:pPr>
        <w:pStyle w:val="Heading3"/>
      </w:pPr>
      <w:r>
        <w:t>Introduction</w:t>
      </w:r>
    </w:p>
    <w:p w14:paraId="15C311C6" w14:textId="77777777" w:rsidR="005F5B62" w:rsidRPr="007044ED" w:rsidRDefault="005F5B62" w:rsidP="005F5B62"/>
    <w:p w14:paraId="6B9B2FCD" w14:textId="1D44892D" w:rsidR="005F5B62" w:rsidRDefault="006F04A6" w:rsidP="005F5B62">
      <w:pPr>
        <w:ind w:left="720"/>
        <w:rPr>
          <w:b/>
          <w:bCs/>
          <w:i/>
          <w:iCs/>
        </w:rPr>
      </w:pPr>
      <w:r>
        <w:t>Bath Iron Works Corporation (BIW</w:t>
      </w:r>
      <w:proofErr w:type="gramStart"/>
      <w:r>
        <w:t>)</w:t>
      </w:r>
      <w:r w:rsidR="005F5B62">
        <w:t xml:space="preserve"> was</w:t>
      </w:r>
      <w:proofErr w:type="gramEnd"/>
      <w:r w:rsidR="005F5B62">
        <w:t xml:space="preserve"> issued Air Emission License A-</w:t>
      </w:r>
      <w:r>
        <w:t>271-71-P</w:t>
      </w:r>
      <w:r w:rsidR="005F5B62">
        <w:t>-R</w:t>
      </w:r>
      <w:r>
        <w:t>/A</w:t>
      </w:r>
      <w:r w:rsidR="005F5B62">
        <w:t xml:space="preserve"> on </w:t>
      </w:r>
      <w:r>
        <w:t>March 13, 2023</w:t>
      </w:r>
      <w:r w:rsidR="005F5B62">
        <w:t xml:space="preserve">, for the operation of emission sources associated with their </w:t>
      </w:r>
      <w:r>
        <w:t>shipbuilding prefabrication</w:t>
      </w:r>
      <w:r w:rsidR="005F5B62">
        <w:t xml:space="preserve"> facility. The license was subsequently amended as follows:</w:t>
      </w:r>
    </w:p>
    <w:p w14:paraId="3B85AD41" w14:textId="77777777" w:rsidR="005F5B62" w:rsidRPr="00F64C20" w:rsidRDefault="005F5B62" w:rsidP="005F5B62">
      <w:pPr>
        <w:ind w:left="720"/>
        <w:rPr>
          <w:b/>
          <w:bCs/>
          <w:i/>
          <w:iCs/>
        </w:rPr>
      </w:pPr>
    </w:p>
    <w:tbl>
      <w:tblPr>
        <w:tblStyle w:val="TableGrid"/>
        <w:tblW w:w="0" w:type="auto"/>
        <w:tblInd w:w="720" w:type="dxa"/>
        <w:tblLook w:val="06A0" w:firstRow="1" w:lastRow="0" w:firstColumn="1" w:lastColumn="0" w:noHBand="1" w:noVBand="1"/>
      </w:tblPr>
      <w:tblGrid>
        <w:gridCol w:w="1615"/>
        <w:gridCol w:w="2070"/>
        <w:gridCol w:w="4945"/>
      </w:tblGrid>
      <w:tr w:rsidR="005F5B62" w:rsidRPr="006E3B29" w14:paraId="11D8F254" w14:textId="77777777" w:rsidTr="00670B25">
        <w:tc>
          <w:tcPr>
            <w:tcW w:w="1615" w:type="dxa"/>
            <w:shd w:val="clear" w:color="auto" w:fill="D9D9D9" w:themeFill="background1" w:themeFillShade="D9"/>
          </w:tcPr>
          <w:p w14:paraId="1254721B" w14:textId="77777777" w:rsidR="005F5B62" w:rsidRPr="00F64C20" w:rsidRDefault="005F5B62" w:rsidP="00D42750">
            <w:pPr>
              <w:rPr>
                <w:b/>
                <w:bCs/>
                <w:sz w:val="22"/>
                <w:szCs w:val="18"/>
              </w:rPr>
            </w:pPr>
            <w:r w:rsidRPr="00F64C20">
              <w:rPr>
                <w:b/>
                <w:bCs/>
                <w:sz w:val="22"/>
                <w:szCs w:val="18"/>
              </w:rPr>
              <w:t>Amendment #</w:t>
            </w:r>
          </w:p>
        </w:tc>
        <w:tc>
          <w:tcPr>
            <w:tcW w:w="2070" w:type="dxa"/>
            <w:shd w:val="clear" w:color="auto" w:fill="D9D9D9" w:themeFill="background1" w:themeFillShade="D9"/>
          </w:tcPr>
          <w:p w14:paraId="4CAA20F8" w14:textId="77777777" w:rsidR="005F5B62" w:rsidRPr="00F64C20" w:rsidRDefault="005F5B62" w:rsidP="00D42750">
            <w:pPr>
              <w:rPr>
                <w:b/>
                <w:bCs/>
                <w:sz w:val="22"/>
                <w:szCs w:val="18"/>
              </w:rPr>
            </w:pPr>
            <w:r w:rsidRPr="00F64C20">
              <w:rPr>
                <w:b/>
                <w:bCs/>
                <w:sz w:val="22"/>
                <w:szCs w:val="18"/>
              </w:rPr>
              <w:t>Date Issued</w:t>
            </w:r>
          </w:p>
        </w:tc>
        <w:tc>
          <w:tcPr>
            <w:tcW w:w="4945" w:type="dxa"/>
            <w:shd w:val="clear" w:color="auto" w:fill="D9D9D9" w:themeFill="background1" w:themeFillShade="D9"/>
          </w:tcPr>
          <w:p w14:paraId="35BF958C" w14:textId="77777777" w:rsidR="005F5B62" w:rsidRPr="00F64C20" w:rsidRDefault="005F5B62" w:rsidP="00D42750">
            <w:pPr>
              <w:rPr>
                <w:b/>
                <w:bCs/>
                <w:sz w:val="22"/>
                <w:szCs w:val="18"/>
              </w:rPr>
            </w:pPr>
            <w:r w:rsidRPr="00F64C20">
              <w:rPr>
                <w:b/>
                <w:bCs/>
                <w:sz w:val="22"/>
                <w:szCs w:val="18"/>
              </w:rPr>
              <w:t>Brief Description</w:t>
            </w:r>
          </w:p>
        </w:tc>
      </w:tr>
      <w:tr w:rsidR="005F5B62" w:rsidRPr="006E3B29" w14:paraId="2AEA0F4E" w14:textId="77777777" w:rsidTr="00670B25">
        <w:tc>
          <w:tcPr>
            <w:tcW w:w="1615" w:type="dxa"/>
          </w:tcPr>
          <w:p w14:paraId="4AD54B85" w14:textId="329855D5" w:rsidR="005F5B62" w:rsidRPr="00670B25" w:rsidRDefault="005F5B62" w:rsidP="00D42750">
            <w:pPr>
              <w:rPr>
                <w:sz w:val="22"/>
                <w:szCs w:val="18"/>
              </w:rPr>
            </w:pPr>
            <w:r w:rsidRPr="00670B25">
              <w:rPr>
                <w:sz w:val="22"/>
                <w:szCs w:val="18"/>
              </w:rPr>
              <w:t>A-</w:t>
            </w:r>
            <w:r w:rsidR="006F04A6" w:rsidRPr="00670B25">
              <w:rPr>
                <w:sz w:val="22"/>
                <w:szCs w:val="18"/>
              </w:rPr>
              <w:t>271</w:t>
            </w:r>
            <w:r w:rsidR="00670B25" w:rsidRPr="00670B25">
              <w:rPr>
                <w:sz w:val="22"/>
                <w:szCs w:val="18"/>
              </w:rPr>
              <w:t>-71-Q-M</w:t>
            </w:r>
          </w:p>
        </w:tc>
        <w:tc>
          <w:tcPr>
            <w:tcW w:w="2070" w:type="dxa"/>
          </w:tcPr>
          <w:p w14:paraId="73BF0056" w14:textId="58E75685" w:rsidR="005F5B62" w:rsidRPr="00670B25" w:rsidRDefault="00670B25" w:rsidP="00D42750">
            <w:pPr>
              <w:jc w:val="right"/>
              <w:rPr>
                <w:sz w:val="22"/>
                <w:szCs w:val="18"/>
              </w:rPr>
            </w:pPr>
            <w:r w:rsidRPr="00670B25">
              <w:rPr>
                <w:sz w:val="22"/>
                <w:szCs w:val="18"/>
              </w:rPr>
              <w:t>September 25, 2024</w:t>
            </w:r>
          </w:p>
        </w:tc>
        <w:tc>
          <w:tcPr>
            <w:tcW w:w="4945" w:type="dxa"/>
          </w:tcPr>
          <w:p w14:paraId="017CC6FA" w14:textId="59E017CE" w:rsidR="005F5B62" w:rsidRPr="00670B25" w:rsidRDefault="00670B25" w:rsidP="00D42750">
            <w:pPr>
              <w:rPr>
                <w:sz w:val="22"/>
                <w:szCs w:val="18"/>
              </w:rPr>
            </w:pPr>
            <w:r>
              <w:rPr>
                <w:sz w:val="22"/>
                <w:szCs w:val="18"/>
              </w:rPr>
              <w:t>Replace Makeup Air Units #1 and #2</w:t>
            </w:r>
          </w:p>
        </w:tc>
      </w:tr>
      <w:tr w:rsidR="005F5B62" w:rsidRPr="006E3B29" w14:paraId="2C90927D" w14:textId="77777777" w:rsidTr="00670B25">
        <w:tc>
          <w:tcPr>
            <w:tcW w:w="1615" w:type="dxa"/>
          </w:tcPr>
          <w:p w14:paraId="7059FCCD" w14:textId="65BF5C25" w:rsidR="005F5B62" w:rsidRPr="00670B25" w:rsidRDefault="005F5B62" w:rsidP="00D42750">
            <w:pPr>
              <w:rPr>
                <w:sz w:val="22"/>
                <w:szCs w:val="18"/>
              </w:rPr>
            </w:pPr>
            <w:r w:rsidRPr="00670B25">
              <w:rPr>
                <w:sz w:val="22"/>
                <w:szCs w:val="18"/>
              </w:rPr>
              <w:t>A-</w:t>
            </w:r>
            <w:r w:rsidR="00670B25" w:rsidRPr="00670B25">
              <w:rPr>
                <w:sz w:val="22"/>
                <w:szCs w:val="18"/>
              </w:rPr>
              <w:t>271-71-R-A</w:t>
            </w:r>
          </w:p>
        </w:tc>
        <w:tc>
          <w:tcPr>
            <w:tcW w:w="2070" w:type="dxa"/>
          </w:tcPr>
          <w:p w14:paraId="4744252B" w14:textId="1EFF703D" w:rsidR="005F5B62" w:rsidRPr="00670B25" w:rsidRDefault="00670B25" w:rsidP="00D42750">
            <w:pPr>
              <w:jc w:val="right"/>
              <w:rPr>
                <w:sz w:val="22"/>
                <w:szCs w:val="18"/>
              </w:rPr>
            </w:pPr>
            <w:r w:rsidRPr="00670B25">
              <w:rPr>
                <w:sz w:val="22"/>
                <w:szCs w:val="18"/>
              </w:rPr>
              <w:t>September 2, 2025</w:t>
            </w:r>
          </w:p>
        </w:tc>
        <w:tc>
          <w:tcPr>
            <w:tcW w:w="4945" w:type="dxa"/>
          </w:tcPr>
          <w:p w14:paraId="1C52B904" w14:textId="33F6D003" w:rsidR="005F5B62" w:rsidRPr="00670B25" w:rsidRDefault="00670B25" w:rsidP="00D42750">
            <w:pPr>
              <w:rPr>
                <w:sz w:val="22"/>
                <w:szCs w:val="18"/>
              </w:rPr>
            </w:pPr>
            <w:r>
              <w:rPr>
                <w:sz w:val="22"/>
                <w:szCs w:val="18"/>
              </w:rPr>
              <w:t>Replace Furnaces #5 and #6 with AH-1 and AH-2</w:t>
            </w:r>
          </w:p>
        </w:tc>
      </w:tr>
    </w:tbl>
    <w:p w14:paraId="14D96EE3" w14:textId="77777777" w:rsidR="005F5B62" w:rsidRDefault="005F5B62" w:rsidP="005F5B62"/>
    <w:p w14:paraId="747FB5F4" w14:textId="62FD26C7" w:rsidR="005F5B62" w:rsidRDefault="005F5B62" w:rsidP="005F5B62">
      <w:pPr>
        <w:ind w:left="720"/>
      </w:pPr>
      <w:r>
        <w:t xml:space="preserve">The equipment addressed in this license </w:t>
      </w:r>
      <w:r w:rsidRPr="00670B25">
        <w:rPr>
          <w:bCs/>
          <w:iCs/>
        </w:rPr>
        <w:t>amendment</w:t>
      </w:r>
      <w:r>
        <w:t xml:space="preserve"> is located at</w:t>
      </w:r>
      <w:r w:rsidR="00670B25">
        <w:t xml:space="preserve"> their Structural Fabrication Facility (SFAB) at 375 Bath Road and their Outfit Fabrication Facility (OFAB) at 16 Mallet Park Dr in Brunswick, </w:t>
      </w:r>
      <w:r w:rsidRPr="00727AA3">
        <w:t>Maine.</w:t>
      </w:r>
    </w:p>
    <w:p w14:paraId="62745A62" w14:textId="77777777" w:rsidR="005F5B62" w:rsidRDefault="005F5B62" w:rsidP="005F5B62">
      <w:pPr>
        <w:ind w:left="720"/>
      </w:pPr>
    </w:p>
    <w:p w14:paraId="2C20FCAE" w14:textId="3BBEA909" w:rsidR="005F5B62" w:rsidRDefault="001D5D5B" w:rsidP="005F5B62">
      <w:pPr>
        <w:ind w:left="720"/>
      </w:pPr>
      <w:r w:rsidRPr="001D5D5B">
        <w:rPr>
          <w:bCs/>
        </w:rPr>
        <w:t>BIW</w:t>
      </w:r>
      <w:r w:rsidR="005F5B62" w:rsidRPr="0034237E">
        <w:rPr>
          <w:b/>
        </w:rPr>
        <w:t xml:space="preserve"> </w:t>
      </w:r>
      <w:r w:rsidR="005F5B62">
        <w:t>has requested a</w:t>
      </w:r>
      <w:r>
        <w:t xml:space="preserve">n </w:t>
      </w:r>
      <w:r w:rsidR="005F5B62" w:rsidRPr="001D5D5B">
        <w:rPr>
          <w:bCs/>
          <w:iCs/>
        </w:rPr>
        <w:t>amendment</w:t>
      </w:r>
      <w:r w:rsidR="005F5B62">
        <w:t xml:space="preserve"> to their license </w:t>
      </w:r>
      <w:proofErr w:type="gramStart"/>
      <w:r w:rsidR="005F5B62">
        <w:t>in order to</w:t>
      </w:r>
      <w:proofErr w:type="gramEnd"/>
      <w:r w:rsidR="005F5B62">
        <w:t xml:space="preserve"> make the following changes:</w:t>
      </w:r>
    </w:p>
    <w:p w14:paraId="088A5ADC" w14:textId="77777777" w:rsidR="005F5B62" w:rsidRDefault="005F5B62" w:rsidP="005F5B62">
      <w:pPr>
        <w:ind w:left="720"/>
        <w:rPr>
          <w:bCs/>
          <w:iCs/>
        </w:rPr>
      </w:pPr>
    </w:p>
    <w:p w14:paraId="3ECC4D83" w14:textId="3EB14EE2" w:rsidR="005F5B62" w:rsidRDefault="001D5D5B" w:rsidP="005F5B62">
      <w:pPr>
        <w:pStyle w:val="ListParagraph"/>
        <w:numPr>
          <w:ilvl w:val="0"/>
          <w:numId w:val="6"/>
        </w:numPr>
        <w:rPr>
          <w:bCs/>
          <w:iCs/>
        </w:rPr>
      </w:pPr>
      <w:r>
        <w:rPr>
          <w:bCs/>
          <w:iCs/>
        </w:rPr>
        <w:t>Modify Boiler #3 (located at SFAB)</w:t>
      </w:r>
      <w:r w:rsidR="00157CF9">
        <w:rPr>
          <w:bCs/>
          <w:iCs/>
        </w:rPr>
        <w:t xml:space="preserve"> by replacing the burner, resulting in changing from dual-fuel firing capacity to firing only natural </w:t>
      </w:r>
      <w:proofErr w:type="gramStart"/>
      <w:r w:rsidR="00157CF9">
        <w:rPr>
          <w:bCs/>
          <w:iCs/>
        </w:rPr>
        <w:t>gas</w:t>
      </w:r>
      <w:r w:rsidR="005F5B62">
        <w:rPr>
          <w:bCs/>
          <w:iCs/>
        </w:rPr>
        <w:t>;</w:t>
      </w:r>
      <w:proofErr w:type="gramEnd"/>
    </w:p>
    <w:p w14:paraId="3EC67F25" w14:textId="23975563" w:rsidR="005F5B62" w:rsidRDefault="001D5D5B" w:rsidP="005F5B62">
      <w:pPr>
        <w:pStyle w:val="ListParagraph"/>
        <w:numPr>
          <w:ilvl w:val="0"/>
          <w:numId w:val="6"/>
        </w:numPr>
        <w:rPr>
          <w:bCs/>
          <w:iCs/>
        </w:rPr>
      </w:pPr>
      <w:r>
        <w:rPr>
          <w:bCs/>
          <w:iCs/>
        </w:rPr>
        <w:t>Replace Hot Air Furnace (located at SFAB) with the Door Shop Furnace and Quonset Hut Furnace</w:t>
      </w:r>
      <w:r w:rsidR="005F5B62">
        <w:rPr>
          <w:bCs/>
          <w:iCs/>
        </w:rPr>
        <w:t>; and</w:t>
      </w:r>
    </w:p>
    <w:p w14:paraId="60087F23" w14:textId="3068EEB9" w:rsidR="005F5B62" w:rsidRPr="004A77BB" w:rsidRDefault="001D5D5B" w:rsidP="005F5B62">
      <w:pPr>
        <w:pStyle w:val="ListParagraph"/>
        <w:numPr>
          <w:ilvl w:val="0"/>
          <w:numId w:val="6"/>
        </w:numPr>
        <w:rPr>
          <w:bCs/>
          <w:iCs/>
        </w:rPr>
      </w:pPr>
      <w:r>
        <w:rPr>
          <w:bCs/>
          <w:iCs/>
        </w:rPr>
        <w:t>Replace Boiler #4 (located at OFAB) with Steam Boiler</w:t>
      </w:r>
      <w:r w:rsidR="009C34DC">
        <w:rPr>
          <w:bCs/>
          <w:iCs/>
        </w:rPr>
        <w:t xml:space="preserve"> #1</w:t>
      </w:r>
      <w:r w:rsidR="005F5B62">
        <w:rPr>
          <w:bCs/>
          <w:iCs/>
        </w:rPr>
        <w:t>.</w:t>
      </w:r>
    </w:p>
    <w:p w14:paraId="4102539B" w14:textId="77777777" w:rsidR="005F5B62" w:rsidRDefault="005F5B62" w:rsidP="005F5B62">
      <w:bookmarkStart w:id="0" w:name="_Hlk45717970"/>
    </w:p>
    <w:bookmarkEnd w:id="0"/>
    <w:p w14:paraId="1B959E35" w14:textId="77777777" w:rsidR="009C34DC" w:rsidRDefault="009C34DC">
      <w:pPr>
        <w:jc w:val="left"/>
        <w:rPr>
          <w:u w:val="single"/>
        </w:rPr>
      </w:pPr>
      <w:r>
        <w:br w:type="page"/>
      </w:r>
    </w:p>
    <w:p w14:paraId="00E75B71" w14:textId="4A00CBC2" w:rsidR="005F5B62" w:rsidRPr="00A441E3" w:rsidRDefault="005F5B62" w:rsidP="005F5B62">
      <w:pPr>
        <w:pStyle w:val="Heading3"/>
      </w:pPr>
      <w:r w:rsidRPr="00A441E3">
        <w:lastRenderedPageBreak/>
        <w:t>Emission Equipment</w:t>
      </w:r>
    </w:p>
    <w:p w14:paraId="46ABA324" w14:textId="77777777" w:rsidR="005F5B62" w:rsidRDefault="005F5B62" w:rsidP="005F5B62">
      <w:pPr>
        <w:pStyle w:val="BodyTextIndent"/>
        <w:tabs>
          <w:tab w:val="left" w:pos="720"/>
        </w:tabs>
        <w:spacing w:after="0"/>
      </w:pPr>
    </w:p>
    <w:p w14:paraId="419E728C" w14:textId="77777777" w:rsidR="005F5B62" w:rsidRDefault="005F5B62" w:rsidP="005F5B62">
      <w:pPr>
        <w:pStyle w:val="BodyTextIndent"/>
        <w:tabs>
          <w:tab w:val="left" w:pos="720"/>
        </w:tabs>
        <w:spacing w:after="0"/>
        <w:ind w:left="720"/>
      </w:pPr>
      <w:r>
        <w:t xml:space="preserve">The following equipment is addressed in this air emission license </w:t>
      </w:r>
      <w:r w:rsidRPr="009C34DC">
        <w:rPr>
          <w:bCs/>
          <w:iCs/>
        </w:rPr>
        <w:t>amendment</w:t>
      </w:r>
      <w:r>
        <w:t>:</w:t>
      </w:r>
    </w:p>
    <w:p w14:paraId="769D3B53" w14:textId="77777777" w:rsidR="005F5B62" w:rsidRDefault="005F5B62" w:rsidP="005F5B62"/>
    <w:p w14:paraId="08F9D086" w14:textId="5150FD2D" w:rsidR="005F5B62" w:rsidRPr="00330C0D" w:rsidRDefault="00833A28" w:rsidP="005F5B62">
      <w:pPr>
        <w:jc w:val="center"/>
        <w:rPr>
          <w:b/>
        </w:rPr>
      </w:pPr>
      <w:r>
        <w:rPr>
          <w:b/>
        </w:rPr>
        <w:t>Fuel Burning Equipment</w:t>
      </w:r>
    </w:p>
    <w:p w14:paraId="72C15169" w14:textId="77777777" w:rsidR="005F5B62" w:rsidRPr="00D47AEC" w:rsidRDefault="005F5B62" w:rsidP="005F5B62">
      <w:pPr>
        <w:jc w:val="center"/>
      </w:pPr>
    </w:p>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335"/>
        <w:gridCol w:w="1672"/>
        <w:gridCol w:w="1836"/>
        <w:gridCol w:w="1836"/>
        <w:gridCol w:w="1136"/>
        <w:gridCol w:w="1170"/>
        <w:gridCol w:w="810"/>
      </w:tblGrid>
      <w:tr w:rsidR="005F5B62" w:rsidRPr="00C67A63" w14:paraId="24C37BF7" w14:textId="77777777" w:rsidTr="006F71CE">
        <w:trPr>
          <w:tblHeader/>
          <w:jc w:val="center"/>
        </w:trPr>
        <w:tc>
          <w:tcPr>
            <w:tcW w:w="1335" w:type="dxa"/>
            <w:shd w:val="clear" w:color="auto" w:fill="D9D9D9" w:themeFill="background1" w:themeFillShade="D9"/>
            <w:vAlign w:val="bottom"/>
          </w:tcPr>
          <w:p w14:paraId="7D5D13D7" w14:textId="77777777" w:rsidR="005F5B62" w:rsidRPr="000A60BA" w:rsidRDefault="005F5B62" w:rsidP="00D42750">
            <w:pPr>
              <w:pStyle w:val="Heading3"/>
              <w:numPr>
                <w:ilvl w:val="0"/>
                <w:numId w:val="0"/>
              </w:numPr>
              <w:jc w:val="center"/>
              <w:rPr>
                <w:b/>
                <w:sz w:val="22"/>
                <w:u w:val="none"/>
              </w:rPr>
            </w:pPr>
            <w:r w:rsidRPr="000A60BA">
              <w:rPr>
                <w:b/>
                <w:sz w:val="22"/>
                <w:u w:val="none"/>
              </w:rPr>
              <w:t>Equipment</w:t>
            </w:r>
          </w:p>
        </w:tc>
        <w:tc>
          <w:tcPr>
            <w:tcW w:w="1672" w:type="dxa"/>
            <w:shd w:val="clear" w:color="auto" w:fill="D9D9D9" w:themeFill="background1" w:themeFillShade="D9"/>
            <w:vAlign w:val="bottom"/>
          </w:tcPr>
          <w:p w14:paraId="00F70236" w14:textId="14C2837E" w:rsidR="005F5B62" w:rsidRPr="000A60BA" w:rsidRDefault="005F5B62" w:rsidP="006F71CE">
            <w:pPr>
              <w:jc w:val="center"/>
              <w:rPr>
                <w:b/>
                <w:sz w:val="22"/>
              </w:rPr>
            </w:pPr>
            <w:r w:rsidRPr="000A60BA">
              <w:rPr>
                <w:b/>
                <w:sz w:val="22"/>
              </w:rPr>
              <w:t>Max. Capacity</w:t>
            </w:r>
          </w:p>
        </w:tc>
        <w:tc>
          <w:tcPr>
            <w:tcW w:w="1836" w:type="dxa"/>
            <w:shd w:val="clear" w:color="auto" w:fill="D9D9D9" w:themeFill="background1" w:themeFillShade="D9"/>
            <w:vAlign w:val="bottom"/>
          </w:tcPr>
          <w:p w14:paraId="1F1C8818" w14:textId="77777777" w:rsidR="005F5B62" w:rsidRPr="000A60BA" w:rsidRDefault="005F5B62" w:rsidP="00D42750">
            <w:pPr>
              <w:jc w:val="center"/>
              <w:rPr>
                <w:b/>
                <w:sz w:val="22"/>
              </w:rPr>
            </w:pPr>
            <w:r w:rsidRPr="000A60BA">
              <w:rPr>
                <w:b/>
                <w:sz w:val="22"/>
              </w:rPr>
              <w:t>Maximum</w:t>
            </w:r>
          </w:p>
          <w:p w14:paraId="249DB639" w14:textId="77777777" w:rsidR="005F5B62" w:rsidRPr="000A60BA" w:rsidRDefault="005F5B62" w:rsidP="00D42750">
            <w:pPr>
              <w:jc w:val="center"/>
              <w:rPr>
                <w:b/>
                <w:sz w:val="22"/>
              </w:rPr>
            </w:pPr>
            <w:r w:rsidRPr="000A60BA">
              <w:rPr>
                <w:b/>
                <w:sz w:val="22"/>
              </w:rPr>
              <w:t>Firing Rate</w:t>
            </w:r>
          </w:p>
        </w:tc>
        <w:tc>
          <w:tcPr>
            <w:tcW w:w="1836" w:type="dxa"/>
            <w:shd w:val="clear" w:color="auto" w:fill="D9D9D9" w:themeFill="background1" w:themeFillShade="D9"/>
            <w:vAlign w:val="bottom"/>
          </w:tcPr>
          <w:p w14:paraId="51645BD8" w14:textId="77777777" w:rsidR="005F5B62" w:rsidRPr="000A60BA" w:rsidRDefault="005F5B62" w:rsidP="00D42750">
            <w:pPr>
              <w:jc w:val="center"/>
              <w:rPr>
                <w:b/>
                <w:sz w:val="22"/>
              </w:rPr>
            </w:pPr>
            <w:r w:rsidRPr="000A60BA">
              <w:rPr>
                <w:b/>
                <w:sz w:val="22"/>
              </w:rPr>
              <w:t>Fuel Type</w:t>
            </w:r>
          </w:p>
        </w:tc>
        <w:tc>
          <w:tcPr>
            <w:tcW w:w="1136" w:type="dxa"/>
            <w:shd w:val="clear" w:color="auto" w:fill="D9D9D9" w:themeFill="background1" w:themeFillShade="D9"/>
            <w:vAlign w:val="bottom"/>
          </w:tcPr>
          <w:p w14:paraId="12245955" w14:textId="77777777" w:rsidR="005F5B62" w:rsidRPr="000A60BA" w:rsidRDefault="005F5B62" w:rsidP="00D42750">
            <w:pPr>
              <w:jc w:val="center"/>
              <w:rPr>
                <w:b/>
                <w:sz w:val="22"/>
              </w:rPr>
            </w:pPr>
            <w:r w:rsidRPr="000A60BA">
              <w:rPr>
                <w:b/>
                <w:sz w:val="22"/>
              </w:rPr>
              <w:t>Date of Manuf.</w:t>
            </w:r>
          </w:p>
        </w:tc>
        <w:tc>
          <w:tcPr>
            <w:tcW w:w="1170" w:type="dxa"/>
            <w:shd w:val="clear" w:color="auto" w:fill="D9D9D9" w:themeFill="background1" w:themeFillShade="D9"/>
            <w:vAlign w:val="bottom"/>
          </w:tcPr>
          <w:p w14:paraId="1783C43C" w14:textId="77777777" w:rsidR="005F5B62" w:rsidRPr="000A60BA" w:rsidRDefault="005F5B62" w:rsidP="00D42750">
            <w:pPr>
              <w:pStyle w:val="Heading3"/>
              <w:numPr>
                <w:ilvl w:val="0"/>
                <w:numId w:val="0"/>
              </w:numPr>
              <w:jc w:val="center"/>
              <w:rPr>
                <w:b/>
                <w:sz w:val="22"/>
                <w:u w:val="none"/>
              </w:rPr>
            </w:pPr>
            <w:r w:rsidRPr="000A60BA">
              <w:rPr>
                <w:b/>
                <w:sz w:val="22"/>
                <w:u w:val="none"/>
              </w:rPr>
              <w:t>Date of Install.</w:t>
            </w:r>
          </w:p>
        </w:tc>
        <w:tc>
          <w:tcPr>
            <w:tcW w:w="810" w:type="dxa"/>
            <w:shd w:val="clear" w:color="auto" w:fill="D9D9D9" w:themeFill="background1" w:themeFillShade="D9"/>
            <w:vAlign w:val="bottom"/>
          </w:tcPr>
          <w:p w14:paraId="350BE7AC" w14:textId="77777777" w:rsidR="005F5B62" w:rsidRPr="000A60BA" w:rsidRDefault="005F5B62" w:rsidP="00D42750">
            <w:pPr>
              <w:pStyle w:val="Heading3"/>
              <w:numPr>
                <w:ilvl w:val="0"/>
                <w:numId w:val="0"/>
              </w:numPr>
              <w:jc w:val="center"/>
              <w:rPr>
                <w:b/>
                <w:sz w:val="22"/>
                <w:u w:val="none"/>
              </w:rPr>
            </w:pPr>
            <w:r w:rsidRPr="000A60BA">
              <w:rPr>
                <w:b/>
                <w:sz w:val="22"/>
                <w:u w:val="none"/>
              </w:rPr>
              <w:t>Stack #</w:t>
            </w:r>
          </w:p>
        </w:tc>
      </w:tr>
      <w:tr w:rsidR="006F71CE" w:rsidRPr="00950B4F" w14:paraId="793AFC56" w14:textId="77777777" w:rsidTr="006F71CE">
        <w:trPr>
          <w:jc w:val="center"/>
        </w:trPr>
        <w:tc>
          <w:tcPr>
            <w:tcW w:w="1335" w:type="dxa"/>
            <w:vAlign w:val="center"/>
          </w:tcPr>
          <w:p w14:paraId="721EDAE9" w14:textId="4C001EAC" w:rsidR="006F71CE" w:rsidRPr="00950B4F" w:rsidRDefault="006F71CE" w:rsidP="00390999">
            <w:pPr>
              <w:jc w:val="left"/>
              <w:rPr>
                <w:sz w:val="22"/>
              </w:rPr>
            </w:pPr>
            <w:r w:rsidRPr="00950B4F">
              <w:rPr>
                <w:sz w:val="22"/>
              </w:rPr>
              <w:t xml:space="preserve">Boiler #3 </w:t>
            </w:r>
            <w:r w:rsidRPr="00950B4F">
              <w:rPr>
                <w:sz w:val="22"/>
                <w:vertAlign w:val="superscript"/>
              </w:rPr>
              <w:t>A</w:t>
            </w:r>
            <w:r w:rsidRPr="00950B4F">
              <w:rPr>
                <w:sz w:val="22"/>
              </w:rPr>
              <w:t xml:space="preserve"> (SFAB)</w:t>
            </w:r>
          </w:p>
        </w:tc>
        <w:tc>
          <w:tcPr>
            <w:tcW w:w="1672" w:type="dxa"/>
            <w:vAlign w:val="center"/>
          </w:tcPr>
          <w:p w14:paraId="24C100D3" w14:textId="613B546E" w:rsidR="006F71CE" w:rsidRPr="00950B4F" w:rsidRDefault="006F71CE" w:rsidP="00D42750">
            <w:pPr>
              <w:jc w:val="center"/>
              <w:rPr>
                <w:sz w:val="22"/>
              </w:rPr>
            </w:pPr>
            <w:r w:rsidRPr="00950B4F">
              <w:rPr>
                <w:sz w:val="22"/>
              </w:rPr>
              <w:t>21.0 MMBtu/</w:t>
            </w:r>
            <w:proofErr w:type="spellStart"/>
            <w:r w:rsidRPr="00950B4F">
              <w:rPr>
                <w:sz w:val="22"/>
              </w:rPr>
              <w:t>hr</w:t>
            </w:r>
            <w:proofErr w:type="spellEnd"/>
          </w:p>
        </w:tc>
        <w:tc>
          <w:tcPr>
            <w:tcW w:w="1836" w:type="dxa"/>
            <w:vAlign w:val="center"/>
          </w:tcPr>
          <w:p w14:paraId="1B4972F3" w14:textId="086ECCE5" w:rsidR="006F71CE" w:rsidRPr="00950B4F" w:rsidRDefault="00F71356" w:rsidP="00D42750">
            <w:pPr>
              <w:jc w:val="center"/>
              <w:rPr>
                <w:sz w:val="22"/>
                <w:vertAlign w:val="superscript"/>
              </w:rPr>
            </w:pPr>
            <w:r w:rsidRPr="00950B4F">
              <w:rPr>
                <w:sz w:val="22"/>
              </w:rPr>
              <w:t xml:space="preserve">20,388 </w:t>
            </w:r>
            <w:proofErr w:type="spellStart"/>
            <w:r w:rsidRPr="00950B4F">
              <w:rPr>
                <w:sz w:val="22"/>
              </w:rPr>
              <w:t>scf</w:t>
            </w:r>
            <w:proofErr w:type="spellEnd"/>
            <w:r w:rsidRPr="00950B4F">
              <w:rPr>
                <w:sz w:val="22"/>
              </w:rPr>
              <w:t>/</w:t>
            </w:r>
            <w:proofErr w:type="spellStart"/>
            <w:r w:rsidRPr="00950B4F">
              <w:rPr>
                <w:sz w:val="22"/>
              </w:rPr>
              <w:t>hr</w:t>
            </w:r>
            <w:proofErr w:type="spellEnd"/>
            <w:r w:rsidRPr="00950B4F">
              <w:rPr>
                <w:sz w:val="22"/>
              </w:rPr>
              <w:t xml:space="preserve"> </w:t>
            </w:r>
            <w:r w:rsidR="001B3EB6" w:rsidRPr="00950B4F">
              <w:rPr>
                <w:sz w:val="22"/>
                <w:vertAlign w:val="superscript"/>
              </w:rPr>
              <w:t>D</w:t>
            </w:r>
          </w:p>
        </w:tc>
        <w:tc>
          <w:tcPr>
            <w:tcW w:w="1836" w:type="dxa"/>
            <w:vAlign w:val="center"/>
          </w:tcPr>
          <w:p w14:paraId="6BCB9503" w14:textId="3F584EB0" w:rsidR="006F71CE" w:rsidRPr="00950B4F" w:rsidRDefault="006F71CE" w:rsidP="00D42750">
            <w:pPr>
              <w:jc w:val="center"/>
              <w:rPr>
                <w:sz w:val="22"/>
              </w:rPr>
            </w:pPr>
            <w:r w:rsidRPr="00950B4F">
              <w:rPr>
                <w:sz w:val="22"/>
              </w:rPr>
              <w:t>Natural Gas</w:t>
            </w:r>
          </w:p>
        </w:tc>
        <w:tc>
          <w:tcPr>
            <w:tcW w:w="1136" w:type="dxa"/>
            <w:vAlign w:val="center"/>
          </w:tcPr>
          <w:p w14:paraId="7C2091E4" w14:textId="7FA5C530" w:rsidR="006F71CE" w:rsidRPr="00950B4F" w:rsidRDefault="006F71CE" w:rsidP="00D42750">
            <w:pPr>
              <w:jc w:val="center"/>
              <w:rPr>
                <w:sz w:val="22"/>
              </w:rPr>
            </w:pPr>
            <w:r w:rsidRPr="00950B4F">
              <w:rPr>
                <w:sz w:val="22"/>
              </w:rPr>
              <w:t>1972 (modified 2026)</w:t>
            </w:r>
          </w:p>
        </w:tc>
        <w:tc>
          <w:tcPr>
            <w:tcW w:w="1170" w:type="dxa"/>
            <w:vAlign w:val="center"/>
          </w:tcPr>
          <w:p w14:paraId="0889D723" w14:textId="141D3C15" w:rsidR="006F71CE" w:rsidRPr="00950B4F" w:rsidRDefault="006F71CE" w:rsidP="00D42750">
            <w:pPr>
              <w:pStyle w:val="Heading3"/>
              <w:numPr>
                <w:ilvl w:val="0"/>
                <w:numId w:val="0"/>
              </w:numPr>
              <w:jc w:val="center"/>
              <w:rPr>
                <w:sz w:val="22"/>
                <w:u w:val="none"/>
              </w:rPr>
            </w:pPr>
            <w:r w:rsidRPr="00950B4F">
              <w:rPr>
                <w:sz w:val="22"/>
                <w:u w:val="none"/>
              </w:rPr>
              <w:t>1972 (modified 2026)</w:t>
            </w:r>
          </w:p>
        </w:tc>
        <w:tc>
          <w:tcPr>
            <w:tcW w:w="810" w:type="dxa"/>
            <w:vAlign w:val="center"/>
          </w:tcPr>
          <w:p w14:paraId="2B0EFE35" w14:textId="39706276" w:rsidR="006F71CE" w:rsidRPr="00950B4F" w:rsidRDefault="006F71CE" w:rsidP="00D42750">
            <w:pPr>
              <w:pStyle w:val="Heading3"/>
              <w:numPr>
                <w:ilvl w:val="0"/>
                <w:numId w:val="0"/>
              </w:numPr>
              <w:jc w:val="center"/>
              <w:rPr>
                <w:sz w:val="22"/>
                <w:u w:val="none"/>
              </w:rPr>
            </w:pPr>
            <w:r w:rsidRPr="00950B4F">
              <w:rPr>
                <w:sz w:val="22"/>
                <w:u w:val="none"/>
              </w:rPr>
              <w:t>S1</w:t>
            </w:r>
          </w:p>
        </w:tc>
      </w:tr>
      <w:tr w:rsidR="005F5B62" w:rsidRPr="00950B4F" w14:paraId="41E3726F" w14:textId="77777777" w:rsidTr="006F71CE">
        <w:trPr>
          <w:jc w:val="center"/>
        </w:trPr>
        <w:tc>
          <w:tcPr>
            <w:tcW w:w="1335" w:type="dxa"/>
            <w:vAlign w:val="center"/>
          </w:tcPr>
          <w:p w14:paraId="7B20E6BE" w14:textId="321D59A3" w:rsidR="005F5B62" w:rsidRPr="00950B4F" w:rsidRDefault="00833A28" w:rsidP="00390999">
            <w:pPr>
              <w:jc w:val="left"/>
              <w:rPr>
                <w:i/>
                <w:iCs/>
                <w:sz w:val="22"/>
                <w:vertAlign w:val="superscript"/>
              </w:rPr>
            </w:pPr>
            <w:r w:rsidRPr="00950B4F">
              <w:rPr>
                <w:i/>
                <w:iCs/>
                <w:sz w:val="22"/>
              </w:rPr>
              <w:t xml:space="preserve">Hot Air Furnace </w:t>
            </w:r>
            <w:r w:rsidRPr="00950B4F">
              <w:rPr>
                <w:i/>
                <w:iCs/>
                <w:sz w:val="22"/>
                <w:vertAlign w:val="superscript"/>
              </w:rPr>
              <w:t>B</w:t>
            </w:r>
            <w:r w:rsidRPr="00950B4F">
              <w:rPr>
                <w:i/>
                <w:iCs/>
                <w:sz w:val="22"/>
              </w:rPr>
              <w:t xml:space="preserve"> (SFAB)</w:t>
            </w:r>
          </w:p>
        </w:tc>
        <w:tc>
          <w:tcPr>
            <w:tcW w:w="1672" w:type="dxa"/>
            <w:vAlign w:val="center"/>
          </w:tcPr>
          <w:p w14:paraId="3840F29F" w14:textId="5B3CC381" w:rsidR="005F5B62" w:rsidRPr="00950B4F" w:rsidRDefault="00833A28" w:rsidP="00D42750">
            <w:pPr>
              <w:jc w:val="center"/>
              <w:rPr>
                <w:i/>
                <w:iCs/>
                <w:sz w:val="22"/>
              </w:rPr>
            </w:pPr>
            <w:r w:rsidRPr="00950B4F">
              <w:rPr>
                <w:i/>
                <w:iCs/>
                <w:sz w:val="22"/>
              </w:rPr>
              <w:t>1.3</w:t>
            </w:r>
            <w:r w:rsidR="006F71CE" w:rsidRPr="00950B4F">
              <w:rPr>
                <w:i/>
                <w:iCs/>
                <w:sz w:val="22"/>
              </w:rPr>
              <w:t xml:space="preserve"> MMBtu/</w:t>
            </w:r>
            <w:proofErr w:type="spellStart"/>
            <w:r w:rsidR="006F71CE" w:rsidRPr="00950B4F">
              <w:rPr>
                <w:i/>
                <w:iCs/>
                <w:sz w:val="22"/>
              </w:rPr>
              <w:t>hr</w:t>
            </w:r>
            <w:proofErr w:type="spellEnd"/>
          </w:p>
        </w:tc>
        <w:tc>
          <w:tcPr>
            <w:tcW w:w="1836" w:type="dxa"/>
            <w:vAlign w:val="center"/>
          </w:tcPr>
          <w:p w14:paraId="2EA8914F" w14:textId="4FFF2093" w:rsidR="005F5B62" w:rsidRPr="00950B4F" w:rsidRDefault="00833A28" w:rsidP="00D42750">
            <w:pPr>
              <w:jc w:val="center"/>
              <w:rPr>
                <w:i/>
                <w:iCs/>
                <w:sz w:val="22"/>
              </w:rPr>
            </w:pPr>
            <w:r w:rsidRPr="00950B4F">
              <w:rPr>
                <w:i/>
                <w:iCs/>
                <w:sz w:val="22"/>
              </w:rPr>
              <w:t>9.3 gal/</w:t>
            </w:r>
            <w:proofErr w:type="spellStart"/>
            <w:r w:rsidRPr="00950B4F">
              <w:rPr>
                <w:i/>
                <w:iCs/>
                <w:sz w:val="22"/>
              </w:rPr>
              <w:t>hr</w:t>
            </w:r>
            <w:proofErr w:type="spellEnd"/>
          </w:p>
        </w:tc>
        <w:tc>
          <w:tcPr>
            <w:tcW w:w="1836" w:type="dxa"/>
            <w:vAlign w:val="center"/>
          </w:tcPr>
          <w:p w14:paraId="13DB4B7C" w14:textId="79E6E6CA" w:rsidR="005F5B62" w:rsidRPr="00950B4F" w:rsidRDefault="00833A28" w:rsidP="00D42750">
            <w:pPr>
              <w:jc w:val="center"/>
              <w:rPr>
                <w:i/>
                <w:iCs/>
                <w:sz w:val="22"/>
              </w:rPr>
            </w:pPr>
            <w:r w:rsidRPr="00950B4F">
              <w:rPr>
                <w:i/>
                <w:iCs/>
                <w:sz w:val="22"/>
              </w:rPr>
              <w:t>Distillate Fuel</w:t>
            </w:r>
          </w:p>
        </w:tc>
        <w:tc>
          <w:tcPr>
            <w:tcW w:w="1136" w:type="dxa"/>
            <w:vAlign w:val="center"/>
          </w:tcPr>
          <w:p w14:paraId="5EEB87F8" w14:textId="58C20120" w:rsidR="005F5B62" w:rsidRPr="00950B4F" w:rsidRDefault="00833A28" w:rsidP="00D42750">
            <w:pPr>
              <w:jc w:val="center"/>
              <w:rPr>
                <w:i/>
                <w:iCs/>
                <w:sz w:val="22"/>
              </w:rPr>
            </w:pPr>
            <w:r w:rsidRPr="00950B4F">
              <w:rPr>
                <w:i/>
                <w:iCs/>
                <w:sz w:val="22"/>
              </w:rPr>
              <w:t>Prior to 1987</w:t>
            </w:r>
          </w:p>
        </w:tc>
        <w:tc>
          <w:tcPr>
            <w:tcW w:w="1170" w:type="dxa"/>
            <w:vAlign w:val="center"/>
          </w:tcPr>
          <w:p w14:paraId="0CCC3094" w14:textId="1F604B13" w:rsidR="005F5B62" w:rsidRPr="00950B4F" w:rsidRDefault="00833A28" w:rsidP="00D42750">
            <w:pPr>
              <w:pStyle w:val="Heading3"/>
              <w:numPr>
                <w:ilvl w:val="0"/>
                <w:numId w:val="0"/>
              </w:numPr>
              <w:jc w:val="center"/>
              <w:rPr>
                <w:i/>
                <w:iCs/>
                <w:sz w:val="22"/>
                <w:u w:val="none"/>
              </w:rPr>
            </w:pPr>
            <w:r w:rsidRPr="00950B4F">
              <w:rPr>
                <w:i/>
                <w:iCs/>
                <w:sz w:val="22"/>
                <w:u w:val="none"/>
              </w:rPr>
              <w:t>Prior to 1987</w:t>
            </w:r>
          </w:p>
        </w:tc>
        <w:tc>
          <w:tcPr>
            <w:tcW w:w="810" w:type="dxa"/>
            <w:vAlign w:val="center"/>
          </w:tcPr>
          <w:p w14:paraId="10705E6F" w14:textId="41230486" w:rsidR="005F5B62" w:rsidRPr="00950B4F" w:rsidRDefault="006F71CE" w:rsidP="00D42750">
            <w:pPr>
              <w:pStyle w:val="Heading3"/>
              <w:numPr>
                <w:ilvl w:val="0"/>
                <w:numId w:val="0"/>
              </w:numPr>
              <w:jc w:val="center"/>
              <w:rPr>
                <w:i/>
                <w:iCs/>
                <w:sz w:val="22"/>
                <w:u w:val="none"/>
                <w:vertAlign w:val="superscript"/>
              </w:rPr>
            </w:pPr>
            <w:r w:rsidRPr="00950B4F">
              <w:rPr>
                <w:i/>
                <w:iCs/>
                <w:sz w:val="22"/>
                <w:u w:val="none"/>
              </w:rPr>
              <w:t>A.</w:t>
            </w:r>
            <w:r w:rsidR="00833A28" w:rsidRPr="00950B4F">
              <w:rPr>
                <w:i/>
                <w:iCs/>
                <w:sz w:val="22"/>
                <w:u w:val="none"/>
              </w:rPr>
              <w:t>V</w:t>
            </w:r>
            <w:r w:rsidRPr="00950B4F">
              <w:rPr>
                <w:i/>
                <w:iCs/>
                <w:sz w:val="22"/>
                <w:u w:val="none"/>
              </w:rPr>
              <w:t xml:space="preserve">. </w:t>
            </w:r>
            <w:r w:rsidR="001B3EB6" w:rsidRPr="00950B4F">
              <w:rPr>
                <w:i/>
                <w:iCs/>
                <w:sz w:val="22"/>
                <w:u w:val="none"/>
                <w:vertAlign w:val="superscript"/>
              </w:rPr>
              <w:t>E</w:t>
            </w:r>
          </w:p>
        </w:tc>
      </w:tr>
      <w:tr w:rsidR="005F5B62" w:rsidRPr="00950B4F" w14:paraId="4679639F" w14:textId="77777777" w:rsidTr="006F71CE">
        <w:trPr>
          <w:jc w:val="center"/>
        </w:trPr>
        <w:tc>
          <w:tcPr>
            <w:tcW w:w="1335" w:type="dxa"/>
            <w:vAlign w:val="center"/>
          </w:tcPr>
          <w:p w14:paraId="4DA9E94F" w14:textId="7F07176D" w:rsidR="005F5B62" w:rsidRPr="00950B4F" w:rsidRDefault="00833A28" w:rsidP="00390999">
            <w:pPr>
              <w:jc w:val="left"/>
              <w:rPr>
                <w:sz w:val="22"/>
                <w:vertAlign w:val="superscript"/>
              </w:rPr>
            </w:pPr>
            <w:r w:rsidRPr="00950B4F">
              <w:rPr>
                <w:sz w:val="22"/>
              </w:rPr>
              <w:t xml:space="preserve">Door Shop Furnace </w:t>
            </w:r>
            <w:r w:rsidRPr="00950B4F">
              <w:rPr>
                <w:sz w:val="22"/>
                <w:vertAlign w:val="superscript"/>
              </w:rPr>
              <w:t>C</w:t>
            </w:r>
            <w:r w:rsidRPr="00950B4F">
              <w:rPr>
                <w:sz w:val="22"/>
              </w:rPr>
              <w:t xml:space="preserve"> (SFAB)</w:t>
            </w:r>
          </w:p>
        </w:tc>
        <w:tc>
          <w:tcPr>
            <w:tcW w:w="1672" w:type="dxa"/>
            <w:vAlign w:val="center"/>
          </w:tcPr>
          <w:p w14:paraId="0A686580" w14:textId="452512D1" w:rsidR="005F5B62" w:rsidRPr="00950B4F" w:rsidRDefault="00833A28" w:rsidP="00D42750">
            <w:pPr>
              <w:jc w:val="center"/>
              <w:rPr>
                <w:sz w:val="22"/>
              </w:rPr>
            </w:pPr>
            <w:r w:rsidRPr="00950B4F">
              <w:rPr>
                <w:sz w:val="22"/>
              </w:rPr>
              <w:t>1.25</w:t>
            </w:r>
            <w:r w:rsidR="006F71CE" w:rsidRPr="00950B4F">
              <w:rPr>
                <w:sz w:val="22"/>
              </w:rPr>
              <w:t xml:space="preserve"> MMBtu/</w:t>
            </w:r>
            <w:proofErr w:type="spellStart"/>
            <w:r w:rsidR="006F71CE" w:rsidRPr="00950B4F">
              <w:rPr>
                <w:sz w:val="22"/>
              </w:rPr>
              <w:t>hr</w:t>
            </w:r>
            <w:proofErr w:type="spellEnd"/>
          </w:p>
        </w:tc>
        <w:tc>
          <w:tcPr>
            <w:tcW w:w="1836" w:type="dxa"/>
            <w:vAlign w:val="center"/>
          </w:tcPr>
          <w:p w14:paraId="620AA542" w14:textId="14EBB79E" w:rsidR="005F5B62" w:rsidRPr="00950B4F" w:rsidRDefault="00F71356" w:rsidP="00D42750">
            <w:pPr>
              <w:jc w:val="center"/>
              <w:rPr>
                <w:sz w:val="22"/>
                <w:vertAlign w:val="superscript"/>
              </w:rPr>
            </w:pPr>
            <w:r w:rsidRPr="00950B4F">
              <w:rPr>
                <w:sz w:val="22"/>
              </w:rPr>
              <w:t xml:space="preserve">1,213 </w:t>
            </w:r>
            <w:proofErr w:type="spellStart"/>
            <w:r w:rsidRPr="00950B4F">
              <w:rPr>
                <w:sz w:val="22"/>
              </w:rPr>
              <w:t>scf</w:t>
            </w:r>
            <w:proofErr w:type="spellEnd"/>
            <w:r w:rsidRPr="00950B4F">
              <w:rPr>
                <w:sz w:val="22"/>
              </w:rPr>
              <w:t>/</w:t>
            </w:r>
            <w:proofErr w:type="spellStart"/>
            <w:r w:rsidRPr="00950B4F">
              <w:rPr>
                <w:sz w:val="22"/>
              </w:rPr>
              <w:t>hr</w:t>
            </w:r>
            <w:proofErr w:type="spellEnd"/>
            <w:r w:rsidRPr="00950B4F">
              <w:rPr>
                <w:sz w:val="22"/>
              </w:rPr>
              <w:t xml:space="preserve"> </w:t>
            </w:r>
            <w:r w:rsidR="001B3EB6" w:rsidRPr="00950B4F">
              <w:rPr>
                <w:sz w:val="22"/>
                <w:vertAlign w:val="superscript"/>
              </w:rPr>
              <w:t>D</w:t>
            </w:r>
          </w:p>
        </w:tc>
        <w:tc>
          <w:tcPr>
            <w:tcW w:w="1836" w:type="dxa"/>
            <w:vAlign w:val="center"/>
          </w:tcPr>
          <w:p w14:paraId="4D72B2F0" w14:textId="7F53C5EC" w:rsidR="005F5B62" w:rsidRPr="00950B4F" w:rsidRDefault="00833A28" w:rsidP="00D42750">
            <w:pPr>
              <w:jc w:val="center"/>
              <w:rPr>
                <w:sz w:val="22"/>
              </w:rPr>
            </w:pPr>
            <w:r w:rsidRPr="00950B4F">
              <w:rPr>
                <w:sz w:val="22"/>
              </w:rPr>
              <w:t>Natural Gas</w:t>
            </w:r>
          </w:p>
        </w:tc>
        <w:tc>
          <w:tcPr>
            <w:tcW w:w="1136" w:type="dxa"/>
            <w:vAlign w:val="center"/>
          </w:tcPr>
          <w:p w14:paraId="4447727C" w14:textId="23A14C6B" w:rsidR="005F5B62" w:rsidRPr="00950B4F" w:rsidRDefault="00833A28" w:rsidP="00D42750">
            <w:pPr>
              <w:jc w:val="center"/>
              <w:rPr>
                <w:sz w:val="22"/>
              </w:rPr>
            </w:pPr>
            <w:r w:rsidRPr="00950B4F">
              <w:rPr>
                <w:sz w:val="22"/>
              </w:rPr>
              <w:t>2026</w:t>
            </w:r>
          </w:p>
        </w:tc>
        <w:tc>
          <w:tcPr>
            <w:tcW w:w="1170" w:type="dxa"/>
            <w:vAlign w:val="center"/>
          </w:tcPr>
          <w:p w14:paraId="03FFDBF6" w14:textId="31A53C7B" w:rsidR="005F5B62" w:rsidRPr="00950B4F" w:rsidRDefault="00833A28" w:rsidP="00D42750">
            <w:pPr>
              <w:pStyle w:val="Heading3"/>
              <w:numPr>
                <w:ilvl w:val="0"/>
                <w:numId w:val="0"/>
              </w:numPr>
              <w:jc w:val="center"/>
              <w:rPr>
                <w:sz w:val="22"/>
                <w:u w:val="none"/>
              </w:rPr>
            </w:pPr>
            <w:r w:rsidRPr="00950B4F">
              <w:rPr>
                <w:sz w:val="22"/>
                <w:u w:val="none"/>
              </w:rPr>
              <w:t>2026</w:t>
            </w:r>
          </w:p>
        </w:tc>
        <w:tc>
          <w:tcPr>
            <w:tcW w:w="810" w:type="dxa"/>
            <w:vAlign w:val="center"/>
          </w:tcPr>
          <w:p w14:paraId="09A628D7" w14:textId="53C93AE5" w:rsidR="005F5B62" w:rsidRPr="00950B4F" w:rsidRDefault="00833A28" w:rsidP="00D42750">
            <w:pPr>
              <w:pStyle w:val="Heading3"/>
              <w:numPr>
                <w:ilvl w:val="0"/>
                <w:numId w:val="0"/>
              </w:numPr>
              <w:jc w:val="center"/>
              <w:rPr>
                <w:sz w:val="22"/>
                <w:u w:val="none"/>
                <w:vertAlign w:val="superscript"/>
              </w:rPr>
            </w:pPr>
            <w:r w:rsidRPr="00950B4F">
              <w:rPr>
                <w:sz w:val="22"/>
                <w:u w:val="none"/>
              </w:rPr>
              <w:t>A</w:t>
            </w:r>
            <w:r w:rsidR="006F71CE" w:rsidRPr="00950B4F">
              <w:rPr>
                <w:sz w:val="22"/>
                <w:u w:val="none"/>
              </w:rPr>
              <w:t>.</w:t>
            </w:r>
            <w:r w:rsidRPr="00950B4F">
              <w:rPr>
                <w:sz w:val="22"/>
                <w:u w:val="none"/>
              </w:rPr>
              <w:t>V</w:t>
            </w:r>
            <w:r w:rsidR="006F71CE" w:rsidRPr="00950B4F">
              <w:rPr>
                <w:sz w:val="22"/>
                <w:u w:val="none"/>
              </w:rPr>
              <w:t xml:space="preserve">. </w:t>
            </w:r>
            <w:r w:rsidR="001B3EB6" w:rsidRPr="00950B4F">
              <w:rPr>
                <w:sz w:val="22"/>
                <w:u w:val="none"/>
                <w:vertAlign w:val="superscript"/>
              </w:rPr>
              <w:t>E</w:t>
            </w:r>
          </w:p>
        </w:tc>
      </w:tr>
      <w:tr w:rsidR="00F71356" w:rsidRPr="00950B4F" w14:paraId="2E73FA32" w14:textId="77777777" w:rsidTr="006F71CE">
        <w:trPr>
          <w:jc w:val="center"/>
        </w:trPr>
        <w:tc>
          <w:tcPr>
            <w:tcW w:w="1335" w:type="dxa"/>
            <w:vAlign w:val="center"/>
          </w:tcPr>
          <w:p w14:paraId="39EFA859" w14:textId="768C0944" w:rsidR="00F71356" w:rsidRPr="00950B4F" w:rsidRDefault="00F71356" w:rsidP="00F71356">
            <w:pPr>
              <w:jc w:val="left"/>
              <w:rPr>
                <w:sz w:val="22"/>
              </w:rPr>
            </w:pPr>
            <w:r w:rsidRPr="00950B4F">
              <w:rPr>
                <w:sz w:val="22"/>
              </w:rPr>
              <w:t xml:space="preserve">Quonset Hut Furnace </w:t>
            </w:r>
            <w:r w:rsidRPr="00950B4F">
              <w:rPr>
                <w:sz w:val="22"/>
                <w:vertAlign w:val="superscript"/>
              </w:rPr>
              <w:t>C</w:t>
            </w:r>
            <w:r w:rsidRPr="00950B4F">
              <w:rPr>
                <w:sz w:val="22"/>
              </w:rPr>
              <w:t xml:space="preserve"> (SFAB)</w:t>
            </w:r>
          </w:p>
        </w:tc>
        <w:tc>
          <w:tcPr>
            <w:tcW w:w="1672" w:type="dxa"/>
            <w:vAlign w:val="center"/>
          </w:tcPr>
          <w:p w14:paraId="3A1A3327" w14:textId="3A4FA56E" w:rsidR="00F71356" w:rsidRPr="00950B4F" w:rsidRDefault="00F71356" w:rsidP="00F71356">
            <w:pPr>
              <w:jc w:val="center"/>
              <w:rPr>
                <w:sz w:val="22"/>
              </w:rPr>
            </w:pPr>
            <w:r w:rsidRPr="00950B4F">
              <w:rPr>
                <w:sz w:val="22"/>
              </w:rPr>
              <w:t>1.25 MMBtu/</w:t>
            </w:r>
            <w:proofErr w:type="spellStart"/>
            <w:r w:rsidRPr="00950B4F">
              <w:rPr>
                <w:sz w:val="22"/>
              </w:rPr>
              <w:t>hr</w:t>
            </w:r>
            <w:proofErr w:type="spellEnd"/>
          </w:p>
        </w:tc>
        <w:tc>
          <w:tcPr>
            <w:tcW w:w="1836" w:type="dxa"/>
            <w:vAlign w:val="center"/>
          </w:tcPr>
          <w:p w14:paraId="1A292A53" w14:textId="58CD5DD0" w:rsidR="00F71356" w:rsidRPr="00950B4F" w:rsidRDefault="00F71356" w:rsidP="00F71356">
            <w:pPr>
              <w:jc w:val="center"/>
              <w:rPr>
                <w:sz w:val="22"/>
              </w:rPr>
            </w:pPr>
            <w:r w:rsidRPr="00950B4F">
              <w:rPr>
                <w:sz w:val="22"/>
              </w:rPr>
              <w:t xml:space="preserve">1,213 </w:t>
            </w:r>
            <w:proofErr w:type="spellStart"/>
            <w:r w:rsidRPr="00950B4F">
              <w:rPr>
                <w:sz w:val="22"/>
              </w:rPr>
              <w:t>scf</w:t>
            </w:r>
            <w:proofErr w:type="spellEnd"/>
            <w:r w:rsidRPr="00950B4F">
              <w:rPr>
                <w:sz w:val="22"/>
              </w:rPr>
              <w:t>/</w:t>
            </w:r>
            <w:proofErr w:type="spellStart"/>
            <w:r w:rsidRPr="00950B4F">
              <w:rPr>
                <w:sz w:val="22"/>
              </w:rPr>
              <w:t>hr</w:t>
            </w:r>
            <w:proofErr w:type="spellEnd"/>
            <w:r w:rsidRPr="00950B4F">
              <w:rPr>
                <w:sz w:val="22"/>
              </w:rPr>
              <w:t xml:space="preserve"> </w:t>
            </w:r>
            <w:r w:rsidR="001B3EB6" w:rsidRPr="00950B4F">
              <w:rPr>
                <w:sz w:val="22"/>
                <w:vertAlign w:val="superscript"/>
              </w:rPr>
              <w:t>D</w:t>
            </w:r>
          </w:p>
        </w:tc>
        <w:tc>
          <w:tcPr>
            <w:tcW w:w="1836" w:type="dxa"/>
            <w:vAlign w:val="center"/>
          </w:tcPr>
          <w:p w14:paraId="38496CBF" w14:textId="3546719C" w:rsidR="00F71356" w:rsidRPr="00950B4F" w:rsidRDefault="00F71356" w:rsidP="00F71356">
            <w:pPr>
              <w:jc w:val="center"/>
              <w:rPr>
                <w:sz w:val="22"/>
              </w:rPr>
            </w:pPr>
            <w:r w:rsidRPr="00950B4F">
              <w:rPr>
                <w:sz w:val="22"/>
              </w:rPr>
              <w:t>Natural Gas</w:t>
            </w:r>
          </w:p>
        </w:tc>
        <w:tc>
          <w:tcPr>
            <w:tcW w:w="1136" w:type="dxa"/>
            <w:vAlign w:val="center"/>
          </w:tcPr>
          <w:p w14:paraId="73DDB6DF" w14:textId="5609619C" w:rsidR="00F71356" w:rsidRPr="00950B4F" w:rsidRDefault="00F71356" w:rsidP="00F71356">
            <w:pPr>
              <w:jc w:val="center"/>
              <w:rPr>
                <w:sz w:val="22"/>
              </w:rPr>
            </w:pPr>
            <w:r w:rsidRPr="00950B4F">
              <w:rPr>
                <w:sz w:val="22"/>
              </w:rPr>
              <w:t>2026</w:t>
            </w:r>
          </w:p>
        </w:tc>
        <w:tc>
          <w:tcPr>
            <w:tcW w:w="1170" w:type="dxa"/>
            <w:vAlign w:val="center"/>
          </w:tcPr>
          <w:p w14:paraId="1BBD80E6" w14:textId="123E2FA2" w:rsidR="00F71356" w:rsidRPr="00950B4F" w:rsidRDefault="00F71356" w:rsidP="00F71356">
            <w:pPr>
              <w:pStyle w:val="Heading3"/>
              <w:numPr>
                <w:ilvl w:val="0"/>
                <w:numId w:val="0"/>
              </w:numPr>
              <w:jc w:val="center"/>
              <w:rPr>
                <w:sz w:val="22"/>
                <w:u w:val="none"/>
              </w:rPr>
            </w:pPr>
            <w:r w:rsidRPr="00950B4F">
              <w:rPr>
                <w:sz w:val="22"/>
                <w:u w:val="none"/>
              </w:rPr>
              <w:t>2026</w:t>
            </w:r>
          </w:p>
        </w:tc>
        <w:tc>
          <w:tcPr>
            <w:tcW w:w="810" w:type="dxa"/>
            <w:vAlign w:val="center"/>
          </w:tcPr>
          <w:p w14:paraId="5006C302" w14:textId="18E7BEA7" w:rsidR="00F71356" w:rsidRPr="00950B4F" w:rsidRDefault="00F71356" w:rsidP="00F71356">
            <w:pPr>
              <w:pStyle w:val="Heading3"/>
              <w:numPr>
                <w:ilvl w:val="0"/>
                <w:numId w:val="0"/>
              </w:numPr>
              <w:jc w:val="center"/>
              <w:rPr>
                <w:sz w:val="22"/>
                <w:u w:val="none"/>
                <w:vertAlign w:val="superscript"/>
              </w:rPr>
            </w:pPr>
            <w:r w:rsidRPr="00950B4F">
              <w:rPr>
                <w:sz w:val="22"/>
                <w:u w:val="none"/>
              </w:rPr>
              <w:t xml:space="preserve">A.V. </w:t>
            </w:r>
            <w:r w:rsidR="001B3EB6" w:rsidRPr="00950B4F">
              <w:rPr>
                <w:sz w:val="22"/>
                <w:u w:val="none"/>
                <w:vertAlign w:val="superscript"/>
              </w:rPr>
              <w:t>E</w:t>
            </w:r>
          </w:p>
        </w:tc>
      </w:tr>
      <w:tr w:rsidR="00F71356" w:rsidRPr="00950B4F" w14:paraId="63120CEC" w14:textId="77777777" w:rsidTr="006F71CE">
        <w:trPr>
          <w:jc w:val="center"/>
        </w:trPr>
        <w:tc>
          <w:tcPr>
            <w:tcW w:w="1335" w:type="dxa"/>
            <w:vAlign w:val="center"/>
          </w:tcPr>
          <w:p w14:paraId="6730548B" w14:textId="514C355F" w:rsidR="00F71356" w:rsidRPr="00950B4F" w:rsidRDefault="00F71356" w:rsidP="00F71356">
            <w:pPr>
              <w:jc w:val="left"/>
              <w:rPr>
                <w:i/>
                <w:iCs/>
                <w:sz w:val="22"/>
              </w:rPr>
            </w:pPr>
            <w:r w:rsidRPr="00950B4F">
              <w:rPr>
                <w:i/>
                <w:iCs/>
                <w:sz w:val="22"/>
              </w:rPr>
              <w:t xml:space="preserve">Boiler #4 </w:t>
            </w:r>
            <w:r w:rsidRPr="00950B4F">
              <w:rPr>
                <w:i/>
                <w:iCs/>
                <w:sz w:val="22"/>
                <w:vertAlign w:val="superscript"/>
              </w:rPr>
              <w:t>B</w:t>
            </w:r>
            <w:r w:rsidRPr="00950B4F">
              <w:rPr>
                <w:i/>
                <w:iCs/>
                <w:sz w:val="22"/>
              </w:rPr>
              <w:t xml:space="preserve"> (OFAB)</w:t>
            </w:r>
          </w:p>
        </w:tc>
        <w:tc>
          <w:tcPr>
            <w:tcW w:w="1672" w:type="dxa"/>
            <w:vAlign w:val="center"/>
          </w:tcPr>
          <w:p w14:paraId="44284EBC" w14:textId="1C8A4E12" w:rsidR="00F71356" w:rsidRPr="00950B4F" w:rsidRDefault="00F71356" w:rsidP="00F71356">
            <w:pPr>
              <w:jc w:val="center"/>
              <w:rPr>
                <w:i/>
                <w:iCs/>
                <w:sz w:val="22"/>
              </w:rPr>
            </w:pPr>
            <w:r w:rsidRPr="00950B4F">
              <w:rPr>
                <w:i/>
                <w:iCs/>
                <w:sz w:val="22"/>
              </w:rPr>
              <w:t>2.5 MMBtu/</w:t>
            </w:r>
            <w:proofErr w:type="spellStart"/>
            <w:r w:rsidRPr="00950B4F">
              <w:rPr>
                <w:i/>
                <w:iCs/>
                <w:sz w:val="22"/>
              </w:rPr>
              <w:t>hr</w:t>
            </w:r>
            <w:proofErr w:type="spellEnd"/>
          </w:p>
        </w:tc>
        <w:tc>
          <w:tcPr>
            <w:tcW w:w="1836" w:type="dxa"/>
            <w:vAlign w:val="center"/>
          </w:tcPr>
          <w:p w14:paraId="59614DE6" w14:textId="2679F9CF" w:rsidR="00F71356" w:rsidRPr="00950B4F" w:rsidRDefault="00F71356" w:rsidP="00F71356">
            <w:pPr>
              <w:jc w:val="center"/>
              <w:rPr>
                <w:i/>
                <w:iCs/>
                <w:sz w:val="22"/>
              </w:rPr>
            </w:pPr>
            <w:r w:rsidRPr="00950B4F">
              <w:rPr>
                <w:i/>
                <w:iCs/>
                <w:sz w:val="22"/>
              </w:rPr>
              <w:t xml:space="preserve">2,454 </w:t>
            </w:r>
            <w:proofErr w:type="spellStart"/>
            <w:r w:rsidRPr="00950B4F">
              <w:rPr>
                <w:i/>
                <w:iCs/>
                <w:sz w:val="22"/>
              </w:rPr>
              <w:t>scf</w:t>
            </w:r>
            <w:proofErr w:type="spellEnd"/>
            <w:r w:rsidRPr="00950B4F">
              <w:rPr>
                <w:i/>
                <w:iCs/>
                <w:sz w:val="22"/>
              </w:rPr>
              <w:t>/</w:t>
            </w:r>
            <w:proofErr w:type="spellStart"/>
            <w:r w:rsidRPr="00950B4F">
              <w:rPr>
                <w:i/>
                <w:iCs/>
                <w:sz w:val="22"/>
              </w:rPr>
              <w:t>hr</w:t>
            </w:r>
            <w:proofErr w:type="spellEnd"/>
          </w:p>
        </w:tc>
        <w:tc>
          <w:tcPr>
            <w:tcW w:w="1836" w:type="dxa"/>
            <w:vAlign w:val="center"/>
          </w:tcPr>
          <w:p w14:paraId="04F654F6" w14:textId="6A814B08" w:rsidR="00F71356" w:rsidRPr="00950B4F" w:rsidRDefault="00F71356" w:rsidP="00F71356">
            <w:pPr>
              <w:jc w:val="center"/>
              <w:rPr>
                <w:i/>
                <w:iCs/>
                <w:sz w:val="22"/>
              </w:rPr>
            </w:pPr>
            <w:r w:rsidRPr="00950B4F">
              <w:rPr>
                <w:i/>
                <w:iCs/>
                <w:sz w:val="22"/>
              </w:rPr>
              <w:t>Natural Gas</w:t>
            </w:r>
          </w:p>
        </w:tc>
        <w:tc>
          <w:tcPr>
            <w:tcW w:w="1136" w:type="dxa"/>
            <w:vAlign w:val="center"/>
          </w:tcPr>
          <w:p w14:paraId="79262420" w14:textId="755788A2" w:rsidR="00F71356" w:rsidRPr="00950B4F" w:rsidRDefault="00F71356" w:rsidP="00F71356">
            <w:pPr>
              <w:jc w:val="center"/>
              <w:rPr>
                <w:i/>
                <w:iCs/>
                <w:sz w:val="22"/>
              </w:rPr>
            </w:pPr>
            <w:r w:rsidRPr="00950B4F">
              <w:rPr>
                <w:i/>
                <w:iCs/>
                <w:sz w:val="22"/>
              </w:rPr>
              <w:t>1989</w:t>
            </w:r>
          </w:p>
        </w:tc>
        <w:tc>
          <w:tcPr>
            <w:tcW w:w="1170" w:type="dxa"/>
            <w:vAlign w:val="center"/>
          </w:tcPr>
          <w:p w14:paraId="4744D9C2" w14:textId="2F01A12C" w:rsidR="00F71356" w:rsidRPr="00950B4F" w:rsidRDefault="00F71356" w:rsidP="00F71356">
            <w:pPr>
              <w:pStyle w:val="Heading3"/>
              <w:numPr>
                <w:ilvl w:val="0"/>
                <w:numId w:val="0"/>
              </w:numPr>
              <w:jc w:val="center"/>
              <w:rPr>
                <w:i/>
                <w:iCs/>
                <w:sz w:val="22"/>
                <w:u w:val="none"/>
              </w:rPr>
            </w:pPr>
            <w:r w:rsidRPr="00950B4F">
              <w:rPr>
                <w:i/>
                <w:iCs/>
                <w:sz w:val="22"/>
                <w:u w:val="none"/>
              </w:rPr>
              <w:t>1989</w:t>
            </w:r>
          </w:p>
        </w:tc>
        <w:tc>
          <w:tcPr>
            <w:tcW w:w="810" w:type="dxa"/>
            <w:vAlign w:val="center"/>
          </w:tcPr>
          <w:p w14:paraId="3762C450" w14:textId="4017E7C5" w:rsidR="00F71356" w:rsidRPr="00950B4F" w:rsidRDefault="00F71356" w:rsidP="00F71356">
            <w:pPr>
              <w:pStyle w:val="Heading3"/>
              <w:numPr>
                <w:ilvl w:val="0"/>
                <w:numId w:val="0"/>
              </w:numPr>
              <w:jc w:val="center"/>
              <w:rPr>
                <w:i/>
                <w:iCs/>
                <w:sz w:val="22"/>
                <w:u w:val="none"/>
              </w:rPr>
            </w:pPr>
            <w:r w:rsidRPr="00950B4F">
              <w:rPr>
                <w:i/>
                <w:iCs/>
                <w:sz w:val="22"/>
                <w:u w:val="none"/>
              </w:rPr>
              <w:t>O1</w:t>
            </w:r>
          </w:p>
        </w:tc>
      </w:tr>
      <w:tr w:rsidR="00F71356" w:rsidRPr="00950B4F" w14:paraId="71042FB6" w14:textId="77777777" w:rsidTr="006F71CE">
        <w:trPr>
          <w:jc w:val="center"/>
        </w:trPr>
        <w:tc>
          <w:tcPr>
            <w:tcW w:w="1335" w:type="dxa"/>
            <w:vAlign w:val="center"/>
          </w:tcPr>
          <w:p w14:paraId="32521B2B" w14:textId="2343095D" w:rsidR="00F71356" w:rsidRPr="00950B4F" w:rsidRDefault="00F71356" w:rsidP="00F71356">
            <w:pPr>
              <w:jc w:val="left"/>
              <w:rPr>
                <w:sz w:val="22"/>
              </w:rPr>
            </w:pPr>
            <w:r w:rsidRPr="00950B4F">
              <w:rPr>
                <w:sz w:val="22"/>
              </w:rPr>
              <w:t xml:space="preserve">Steam Boiler #1 </w:t>
            </w:r>
            <w:r w:rsidRPr="00950B4F">
              <w:rPr>
                <w:sz w:val="22"/>
                <w:vertAlign w:val="superscript"/>
              </w:rPr>
              <w:t>C</w:t>
            </w:r>
            <w:r w:rsidRPr="00950B4F">
              <w:rPr>
                <w:sz w:val="22"/>
              </w:rPr>
              <w:t xml:space="preserve"> (OFAB)</w:t>
            </w:r>
          </w:p>
        </w:tc>
        <w:tc>
          <w:tcPr>
            <w:tcW w:w="1672" w:type="dxa"/>
            <w:vAlign w:val="center"/>
          </w:tcPr>
          <w:p w14:paraId="12E913A5" w14:textId="00E1CB9B" w:rsidR="00F71356" w:rsidRPr="00950B4F" w:rsidRDefault="00F71356" w:rsidP="00F71356">
            <w:pPr>
              <w:jc w:val="center"/>
              <w:rPr>
                <w:sz w:val="22"/>
              </w:rPr>
            </w:pPr>
            <w:r w:rsidRPr="00950B4F">
              <w:rPr>
                <w:sz w:val="22"/>
              </w:rPr>
              <w:t>2.6 MMBtu/</w:t>
            </w:r>
            <w:proofErr w:type="spellStart"/>
            <w:r w:rsidRPr="00950B4F">
              <w:rPr>
                <w:sz w:val="22"/>
              </w:rPr>
              <w:t>hr</w:t>
            </w:r>
            <w:proofErr w:type="spellEnd"/>
          </w:p>
        </w:tc>
        <w:tc>
          <w:tcPr>
            <w:tcW w:w="1836" w:type="dxa"/>
            <w:vAlign w:val="center"/>
          </w:tcPr>
          <w:p w14:paraId="12A35E50" w14:textId="581E6532" w:rsidR="00F71356" w:rsidRPr="00950B4F" w:rsidRDefault="00F71356" w:rsidP="00F71356">
            <w:pPr>
              <w:jc w:val="center"/>
              <w:rPr>
                <w:sz w:val="22"/>
              </w:rPr>
            </w:pPr>
            <w:r w:rsidRPr="00950B4F">
              <w:rPr>
                <w:sz w:val="22"/>
              </w:rPr>
              <w:t xml:space="preserve">2,275 </w:t>
            </w:r>
            <w:proofErr w:type="spellStart"/>
            <w:r w:rsidRPr="00950B4F">
              <w:rPr>
                <w:sz w:val="22"/>
              </w:rPr>
              <w:t>scf</w:t>
            </w:r>
            <w:proofErr w:type="spellEnd"/>
            <w:r w:rsidRPr="00950B4F">
              <w:rPr>
                <w:sz w:val="22"/>
              </w:rPr>
              <w:t>/</w:t>
            </w:r>
            <w:proofErr w:type="spellStart"/>
            <w:r w:rsidRPr="00950B4F">
              <w:rPr>
                <w:sz w:val="22"/>
              </w:rPr>
              <w:t>hr</w:t>
            </w:r>
            <w:proofErr w:type="spellEnd"/>
          </w:p>
        </w:tc>
        <w:tc>
          <w:tcPr>
            <w:tcW w:w="1836" w:type="dxa"/>
            <w:vAlign w:val="center"/>
          </w:tcPr>
          <w:p w14:paraId="2065CD79" w14:textId="7D286F2F" w:rsidR="00F71356" w:rsidRPr="00950B4F" w:rsidRDefault="00F71356" w:rsidP="00F71356">
            <w:pPr>
              <w:jc w:val="center"/>
              <w:rPr>
                <w:sz w:val="22"/>
              </w:rPr>
            </w:pPr>
            <w:r w:rsidRPr="00950B4F">
              <w:rPr>
                <w:sz w:val="22"/>
              </w:rPr>
              <w:t>Natural Gas</w:t>
            </w:r>
          </w:p>
        </w:tc>
        <w:tc>
          <w:tcPr>
            <w:tcW w:w="1136" w:type="dxa"/>
            <w:vAlign w:val="center"/>
          </w:tcPr>
          <w:p w14:paraId="7C886D73" w14:textId="59EFD56D" w:rsidR="00F71356" w:rsidRPr="00950B4F" w:rsidRDefault="00F71356" w:rsidP="00F71356">
            <w:pPr>
              <w:jc w:val="center"/>
              <w:rPr>
                <w:sz w:val="22"/>
              </w:rPr>
            </w:pPr>
            <w:r w:rsidRPr="00950B4F">
              <w:rPr>
                <w:sz w:val="22"/>
              </w:rPr>
              <w:t>2026</w:t>
            </w:r>
          </w:p>
        </w:tc>
        <w:tc>
          <w:tcPr>
            <w:tcW w:w="1170" w:type="dxa"/>
            <w:vAlign w:val="center"/>
          </w:tcPr>
          <w:p w14:paraId="18DBD475" w14:textId="407708EC" w:rsidR="00F71356" w:rsidRPr="00950B4F" w:rsidRDefault="00F71356" w:rsidP="00F71356">
            <w:pPr>
              <w:pStyle w:val="Heading3"/>
              <w:numPr>
                <w:ilvl w:val="0"/>
                <w:numId w:val="0"/>
              </w:numPr>
              <w:jc w:val="center"/>
              <w:rPr>
                <w:sz w:val="22"/>
                <w:u w:val="none"/>
              </w:rPr>
            </w:pPr>
            <w:r w:rsidRPr="00950B4F">
              <w:rPr>
                <w:sz w:val="22"/>
                <w:u w:val="none"/>
              </w:rPr>
              <w:t>2026</w:t>
            </w:r>
          </w:p>
        </w:tc>
        <w:tc>
          <w:tcPr>
            <w:tcW w:w="810" w:type="dxa"/>
            <w:vAlign w:val="center"/>
          </w:tcPr>
          <w:p w14:paraId="447253C3" w14:textId="13635B0B" w:rsidR="00F71356" w:rsidRPr="00950B4F" w:rsidRDefault="00F71356" w:rsidP="00F71356">
            <w:pPr>
              <w:pStyle w:val="Heading3"/>
              <w:numPr>
                <w:ilvl w:val="0"/>
                <w:numId w:val="0"/>
              </w:numPr>
              <w:jc w:val="center"/>
              <w:rPr>
                <w:sz w:val="22"/>
                <w:u w:val="none"/>
              </w:rPr>
            </w:pPr>
            <w:r w:rsidRPr="00950B4F">
              <w:rPr>
                <w:sz w:val="22"/>
                <w:u w:val="none"/>
              </w:rPr>
              <w:t>O1</w:t>
            </w:r>
          </w:p>
        </w:tc>
      </w:tr>
    </w:tbl>
    <w:p w14:paraId="48A74B15" w14:textId="4258B779" w:rsidR="005F5B62" w:rsidRPr="00950B4F" w:rsidRDefault="006F71CE" w:rsidP="006F71CE">
      <w:pPr>
        <w:ind w:left="720"/>
        <w:rPr>
          <w:sz w:val="22"/>
          <w:szCs w:val="22"/>
        </w:rPr>
      </w:pPr>
      <w:r w:rsidRPr="00950B4F">
        <w:rPr>
          <w:sz w:val="22"/>
          <w:szCs w:val="22"/>
          <w:vertAlign w:val="superscript"/>
        </w:rPr>
        <w:t>A</w:t>
      </w:r>
      <w:r w:rsidRPr="00950B4F">
        <w:rPr>
          <w:sz w:val="22"/>
          <w:szCs w:val="22"/>
        </w:rPr>
        <w:t xml:space="preserve"> Replacement of burner</w:t>
      </w:r>
    </w:p>
    <w:p w14:paraId="2DF88737" w14:textId="7BE05C33" w:rsidR="006F71CE" w:rsidRPr="00950B4F" w:rsidRDefault="006F71CE" w:rsidP="006F71CE">
      <w:pPr>
        <w:ind w:left="720"/>
        <w:rPr>
          <w:sz w:val="22"/>
          <w:szCs w:val="22"/>
        </w:rPr>
      </w:pPr>
      <w:r w:rsidRPr="00950B4F">
        <w:rPr>
          <w:sz w:val="22"/>
          <w:szCs w:val="22"/>
          <w:vertAlign w:val="superscript"/>
        </w:rPr>
        <w:t>B</w:t>
      </w:r>
      <w:r w:rsidRPr="00950B4F">
        <w:rPr>
          <w:sz w:val="22"/>
          <w:szCs w:val="22"/>
        </w:rPr>
        <w:t xml:space="preserve"> Removed from license</w:t>
      </w:r>
    </w:p>
    <w:p w14:paraId="0B9EF87F" w14:textId="7A3DCB92" w:rsidR="006F71CE" w:rsidRPr="00950B4F" w:rsidRDefault="006F71CE" w:rsidP="006F71CE">
      <w:pPr>
        <w:ind w:left="720"/>
        <w:rPr>
          <w:sz w:val="22"/>
          <w:szCs w:val="22"/>
        </w:rPr>
      </w:pPr>
      <w:r w:rsidRPr="00950B4F">
        <w:rPr>
          <w:sz w:val="22"/>
          <w:szCs w:val="22"/>
          <w:vertAlign w:val="superscript"/>
        </w:rPr>
        <w:t>C</w:t>
      </w:r>
      <w:r w:rsidRPr="00950B4F">
        <w:rPr>
          <w:sz w:val="22"/>
          <w:szCs w:val="22"/>
        </w:rPr>
        <w:t xml:space="preserve"> New to license</w:t>
      </w:r>
    </w:p>
    <w:p w14:paraId="790E8E45" w14:textId="351ABAB2" w:rsidR="00F71356" w:rsidRPr="00950B4F" w:rsidRDefault="001B3EB6" w:rsidP="006F71CE">
      <w:pPr>
        <w:ind w:left="720"/>
        <w:rPr>
          <w:sz w:val="22"/>
          <w:szCs w:val="22"/>
        </w:rPr>
      </w:pPr>
      <w:r w:rsidRPr="00950B4F">
        <w:rPr>
          <w:sz w:val="22"/>
          <w:szCs w:val="22"/>
          <w:vertAlign w:val="superscript"/>
        </w:rPr>
        <w:t>D</w:t>
      </w:r>
      <w:r w:rsidR="00F71356" w:rsidRPr="00950B4F">
        <w:rPr>
          <w:sz w:val="22"/>
          <w:szCs w:val="22"/>
        </w:rPr>
        <w:t xml:space="preserve"> Estimated firing rate based on rated maximum heat input</w:t>
      </w:r>
    </w:p>
    <w:p w14:paraId="6248D58A" w14:textId="50D99094" w:rsidR="001B3EB6" w:rsidRDefault="001B3EB6" w:rsidP="001B3EB6">
      <w:pPr>
        <w:ind w:left="720"/>
        <w:rPr>
          <w:sz w:val="22"/>
          <w:szCs w:val="22"/>
        </w:rPr>
      </w:pPr>
      <w:r w:rsidRPr="00950B4F">
        <w:rPr>
          <w:sz w:val="22"/>
          <w:szCs w:val="22"/>
          <w:vertAlign w:val="superscript"/>
        </w:rPr>
        <w:t>E</w:t>
      </w:r>
      <w:r w:rsidRPr="00950B4F">
        <w:rPr>
          <w:sz w:val="22"/>
          <w:szCs w:val="22"/>
        </w:rPr>
        <w:t xml:space="preserve"> Ambient Vent</w:t>
      </w:r>
    </w:p>
    <w:p w14:paraId="152F9452" w14:textId="77777777" w:rsidR="005F5B62" w:rsidRDefault="005F5B62" w:rsidP="005F5B62"/>
    <w:p w14:paraId="5D59BC2B" w14:textId="77777777" w:rsidR="005F5B62" w:rsidRDefault="005F5B62" w:rsidP="005F5B62">
      <w:pPr>
        <w:pStyle w:val="Heading3"/>
      </w:pPr>
      <w:r>
        <w:t>Definitions</w:t>
      </w:r>
    </w:p>
    <w:p w14:paraId="5694A82B" w14:textId="77777777" w:rsidR="005F5B62" w:rsidRPr="00197C72" w:rsidRDefault="005F5B62" w:rsidP="005F5B62"/>
    <w:p w14:paraId="5924F4AE" w14:textId="77777777" w:rsidR="005F5B62" w:rsidRPr="00B348D0" w:rsidRDefault="005F5B62" w:rsidP="005F5B62">
      <w:pPr>
        <w:ind w:left="720"/>
      </w:pPr>
      <w:r w:rsidRPr="00B348D0">
        <w:rPr>
          <w:i/>
          <w:u w:val="single"/>
        </w:rPr>
        <w:t>Distillate Fuel</w:t>
      </w:r>
      <w:r>
        <w:rPr>
          <w:i/>
          <w:u w:val="single"/>
        </w:rPr>
        <w:t xml:space="preserve"> </w:t>
      </w:r>
      <w:r w:rsidRPr="00B348D0">
        <w:t>means the following:</w:t>
      </w:r>
    </w:p>
    <w:p w14:paraId="79CB8F06" w14:textId="77777777" w:rsidR="005F5B62" w:rsidRPr="00B348D0" w:rsidRDefault="005F5B62" w:rsidP="005F5B62">
      <w:pPr>
        <w:numPr>
          <w:ilvl w:val="0"/>
          <w:numId w:val="7"/>
        </w:numPr>
      </w:pPr>
      <w:r w:rsidRPr="00B348D0">
        <w:rPr>
          <w:color w:val="000000"/>
          <w:shd w:val="clear" w:color="auto" w:fill="FFFFFF"/>
        </w:rPr>
        <w:t>Fuel oil that complies with the specifications for fuel oil numbers 1 or 2, as defined by the American Society for Testing and Materials (ASTM) in ASTM </w:t>
      </w:r>
      <w:proofErr w:type="gramStart"/>
      <w:r w:rsidRPr="00B348D0">
        <w:rPr>
          <w:color w:val="000000"/>
          <w:shd w:val="clear" w:color="auto" w:fill="FFFFFF"/>
        </w:rPr>
        <w:t>D396;</w:t>
      </w:r>
      <w:proofErr w:type="gramEnd"/>
    </w:p>
    <w:p w14:paraId="113AD4E4" w14:textId="77777777" w:rsidR="005F5B62" w:rsidRPr="00B348D0" w:rsidRDefault="005F5B62" w:rsidP="005F5B62">
      <w:pPr>
        <w:numPr>
          <w:ilvl w:val="0"/>
          <w:numId w:val="7"/>
        </w:numPr>
      </w:pPr>
      <w:r w:rsidRPr="00B348D0">
        <w:rPr>
          <w:color w:val="000000"/>
          <w:shd w:val="clear" w:color="auto" w:fill="FFFFFF"/>
        </w:rPr>
        <w:t xml:space="preserve">Diesel fuel oil numbers 1 or 2, as defined in ASTM </w:t>
      </w:r>
      <w:proofErr w:type="gramStart"/>
      <w:r w:rsidRPr="00B348D0">
        <w:rPr>
          <w:color w:val="000000"/>
          <w:shd w:val="clear" w:color="auto" w:fill="FFFFFF"/>
        </w:rPr>
        <w:t>D975;</w:t>
      </w:r>
      <w:proofErr w:type="gramEnd"/>
    </w:p>
    <w:p w14:paraId="1905DE1C" w14:textId="77777777" w:rsidR="005F5B62" w:rsidRPr="00B348D0" w:rsidRDefault="005F5B62" w:rsidP="005F5B62">
      <w:pPr>
        <w:numPr>
          <w:ilvl w:val="0"/>
          <w:numId w:val="7"/>
        </w:numPr>
      </w:pPr>
      <w:r w:rsidRPr="00B348D0">
        <w:rPr>
          <w:color w:val="000000"/>
          <w:shd w:val="clear" w:color="auto" w:fill="FFFFFF"/>
        </w:rPr>
        <w:t>Kerosene, as defined in ASTM </w:t>
      </w:r>
      <w:proofErr w:type="gramStart"/>
      <w:r w:rsidRPr="00B348D0">
        <w:rPr>
          <w:color w:val="000000"/>
          <w:shd w:val="clear" w:color="auto" w:fill="FFFFFF"/>
        </w:rPr>
        <w:t>D3699;</w:t>
      </w:r>
      <w:proofErr w:type="gramEnd"/>
    </w:p>
    <w:p w14:paraId="1126A341" w14:textId="77777777" w:rsidR="005F5B62" w:rsidRPr="00B348D0" w:rsidRDefault="005F5B62" w:rsidP="005F5B62">
      <w:pPr>
        <w:numPr>
          <w:ilvl w:val="0"/>
          <w:numId w:val="7"/>
        </w:numPr>
      </w:pPr>
      <w:r w:rsidRPr="00B348D0">
        <w:t>B</w:t>
      </w:r>
      <w:r w:rsidRPr="00B348D0">
        <w:rPr>
          <w:color w:val="000000"/>
          <w:shd w:val="clear" w:color="auto" w:fill="FFFFFF"/>
        </w:rPr>
        <w:t xml:space="preserve">iodiesel, as defined in ASTM D6751; or </w:t>
      </w:r>
    </w:p>
    <w:p w14:paraId="1251A83E" w14:textId="77777777" w:rsidR="005F5B62" w:rsidRPr="00B348D0" w:rsidRDefault="005F5B62" w:rsidP="005F5B62">
      <w:pPr>
        <w:numPr>
          <w:ilvl w:val="0"/>
          <w:numId w:val="7"/>
        </w:numPr>
      </w:pPr>
      <w:r w:rsidRPr="00B348D0">
        <w:rPr>
          <w:shd w:val="clear" w:color="auto" w:fill="FFFFFF"/>
        </w:rPr>
        <w:t>Biodiesel blends, as defined in ASTM D7467.</w:t>
      </w:r>
    </w:p>
    <w:p w14:paraId="61B00BC4" w14:textId="77777777" w:rsidR="005F5B62" w:rsidRDefault="005F5B62" w:rsidP="005F5B62"/>
    <w:p w14:paraId="42F48E6E" w14:textId="77777777" w:rsidR="005F5B62" w:rsidRPr="003F54CD" w:rsidRDefault="005F5B62" w:rsidP="005F5B62">
      <w:pPr>
        <w:ind w:left="720"/>
      </w:pPr>
      <w:r>
        <w:rPr>
          <w:i/>
          <w:u w:val="single"/>
        </w:rPr>
        <w:t>Records</w:t>
      </w:r>
      <w:r>
        <w:t xml:space="preserve"> or</w:t>
      </w:r>
      <w:r>
        <w:rPr>
          <w:i/>
          <w:u w:val="single"/>
        </w:rPr>
        <w:t xml:space="preserve"> Logs</w:t>
      </w:r>
      <w:r>
        <w:t xml:space="preserve"> mean either hardcopy or electronic records.</w:t>
      </w:r>
    </w:p>
    <w:p w14:paraId="4D29ED52" w14:textId="77777777" w:rsidR="005F5B62" w:rsidRPr="00197C72" w:rsidRDefault="005F5B62" w:rsidP="005F5B62"/>
    <w:p w14:paraId="214A1D2E" w14:textId="77777777" w:rsidR="00157CF9" w:rsidRDefault="00157CF9">
      <w:pPr>
        <w:jc w:val="left"/>
        <w:rPr>
          <w:u w:val="single"/>
        </w:rPr>
      </w:pPr>
      <w:r>
        <w:br w:type="page"/>
      </w:r>
    </w:p>
    <w:p w14:paraId="5C824039" w14:textId="59A16FC7" w:rsidR="005F5B62" w:rsidRPr="00B4147A" w:rsidRDefault="005F5B62" w:rsidP="005F5B62">
      <w:pPr>
        <w:pStyle w:val="Heading3"/>
      </w:pPr>
      <w:r w:rsidRPr="00B4147A">
        <w:lastRenderedPageBreak/>
        <w:t>Application Classification</w:t>
      </w:r>
    </w:p>
    <w:p w14:paraId="0BE6B7F5" w14:textId="77777777" w:rsidR="005F5B62" w:rsidRPr="00B4147A" w:rsidRDefault="005F5B62" w:rsidP="005F5B62"/>
    <w:p w14:paraId="2D2BDF0A"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3223C23F" w14:textId="001F8942" w:rsidR="005F5B62" w:rsidRPr="00B4147A" w:rsidRDefault="005F5B62" w:rsidP="009C34DC">
      <w:pPr>
        <w:pStyle w:val="BodyTextIndent"/>
        <w:tabs>
          <w:tab w:val="left" w:pos="360"/>
        </w:tabs>
        <w:spacing w:after="0"/>
        <w:ind w:left="0"/>
      </w:pPr>
      <w:r w:rsidRPr="00B4147A">
        <w:tab/>
      </w:r>
    </w:p>
    <w:p w14:paraId="20DFB2AC" w14:textId="77777777" w:rsidR="005F5B62" w:rsidRPr="00B4147A" w:rsidRDefault="005F5B62" w:rsidP="00F558C8">
      <w:pPr>
        <w:pStyle w:val="BodyTextIndent"/>
        <w:spacing w:after="0"/>
        <w:ind w:left="720"/>
      </w:pPr>
      <w:r w:rsidRPr="00B4147A">
        <w:t xml:space="preserve">The modification of a minor source is considered a major or minor modification based on </w:t>
      </w:r>
      <w:proofErr w:type="gramStart"/>
      <w:r w:rsidRPr="00B4147A">
        <w:t>whether or not</w:t>
      </w:r>
      <w:proofErr w:type="gramEnd"/>
      <w:r w:rsidRPr="00B4147A">
        <w:t xml:space="preserve"> expected emission increases exceed the “Significant Emissions” levels as defined in the Department’s </w:t>
      </w:r>
      <w:r w:rsidRPr="00B4147A">
        <w:rPr>
          <w:i/>
        </w:rPr>
        <w:t>Definitions Regulation</w:t>
      </w:r>
      <w:r w:rsidRPr="00B4147A">
        <w:t>, 06-096 Code of Maine Rules (C.M.R.) ch. 100. The emission increases are determined by subtracting the current licensed annual emissions preceding the modification from the maximum future licensed annual emissions, as follows:</w:t>
      </w:r>
    </w:p>
    <w:p w14:paraId="40D62469" w14:textId="77777777" w:rsidR="005F5B62" w:rsidRPr="00B4147A" w:rsidRDefault="005F5B62" w:rsidP="00F558C8">
      <w:pPr>
        <w:pStyle w:val="BodyTextIndent"/>
        <w:spacing w:after="0"/>
      </w:pPr>
    </w:p>
    <w:tbl>
      <w:tblPr>
        <w:tblW w:w="8625" w:type="dxa"/>
        <w:tblInd w:w="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B4147A" w:rsidRPr="00B4147A" w14:paraId="18557ECD" w14:textId="77777777" w:rsidTr="001B3EB6">
        <w:trPr>
          <w:tblHeader/>
        </w:trPr>
        <w:tc>
          <w:tcPr>
            <w:tcW w:w="1278" w:type="dxa"/>
            <w:shd w:val="clear" w:color="auto" w:fill="D9D9D9" w:themeFill="background1" w:themeFillShade="D9"/>
            <w:vAlign w:val="bottom"/>
          </w:tcPr>
          <w:p w14:paraId="723FA543" w14:textId="77777777" w:rsidR="005F5B62" w:rsidRPr="00B4147A" w:rsidRDefault="005F5B62" w:rsidP="00F558C8">
            <w:pPr>
              <w:pStyle w:val="BodyTextIndent"/>
              <w:spacing w:after="0"/>
              <w:ind w:left="0"/>
              <w:jc w:val="center"/>
              <w:rPr>
                <w:b/>
                <w:sz w:val="22"/>
                <w:szCs w:val="22"/>
              </w:rPr>
            </w:pPr>
          </w:p>
          <w:p w14:paraId="0EB3E25F" w14:textId="77777777" w:rsidR="005F5B62" w:rsidRPr="00B4147A" w:rsidRDefault="005F5B62" w:rsidP="00F558C8">
            <w:pPr>
              <w:pStyle w:val="BodyTextIndent"/>
              <w:spacing w:after="0"/>
              <w:ind w:left="0"/>
              <w:jc w:val="center"/>
              <w:rPr>
                <w:b/>
                <w:sz w:val="22"/>
                <w:szCs w:val="22"/>
              </w:rPr>
            </w:pPr>
            <w:r w:rsidRPr="00B4147A">
              <w:rPr>
                <w:b/>
                <w:sz w:val="22"/>
                <w:szCs w:val="22"/>
              </w:rPr>
              <w:t>Pollutant</w:t>
            </w:r>
          </w:p>
        </w:tc>
        <w:tc>
          <w:tcPr>
            <w:tcW w:w="1947" w:type="dxa"/>
            <w:shd w:val="clear" w:color="auto" w:fill="D9D9D9" w:themeFill="background1" w:themeFillShade="D9"/>
            <w:vAlign w:val="bottom"/>
          </w:tcPr>
          <w:p w14:paraId="260000B3" w14:textId="77777777" w:rsidR="005F5B62" w:rsidRPr="00B4147A" w:rsidRDefault="005F5B62" w:rsidP="00F558C8">
            <w:pPr>
              <w:pStyle w:val="BodyTextIndent"/>
              <w:spacing w:after="0"/>
              <w:ind w:left="0"/>
              <w:jc w:val="center"/>
              <w:rPr>
                <w:b/>
                <w:sz w:val="22"/>
                <w:szCs w:val="22"/>
              </w:rPr>
            </w:pPr>
            <w:r w:rsidRPr="00B4147A">
              <w:rPr>
                <w:b/>
                <w:sz w:val="22"/>
                <w:szCs w:val="22"/>
              </w:rPr>
              <w:t>Current License</w:t>
            </w:r>
          </w:p>
          <w:p w14:paraId="6927909E"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771" w:type="dxa"/>
            <w:shd w:val="clear" w:color="auto" w:fill="D9D9D9" w:themeFill="background1" w:themeFillShade="D9"/>
            <w:vAlign w:val="bottom"/>
          </w:tcPr>
          <w:p w14:paraId="2DE3E314" w14:textId="77777777" w:rsidR="005F5B62" w:rsidRPr="00B4147A" w:rsidRDefault="005F5B62" w:rsidP="00F558C8">
            <w:pPr>
              <w:pStyle w:val="BodyTextIndent"/>
              <w:spacing w:after="0"/>
              <w:ind w:left="0"/>
              <w:jc w:val="center"/>
              <w:rPr>
                <w:b/>
                <w:sz w:val="22"/>
                <w:szCs w:val="22"/>
              </w:rPr>
            </w:pPr>
            <w:r w:rsidRPr="00B4147A">
              <w:rPr>
                <w:b/>
                <w:sz w:val="22"/>
                <w:szCs w:val="22"/>
              </w:rPr>
              <w:t>Future License</w:t>
            </w:r>
          </w:p>
          <w:p w14:paraId="1A8B3C67"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649" w:type="dxa"/>
            <w:shd w:val="clear" w:color="auto" w:fill="D9D9D9" w:themeFill="background1" w:themeFillShade="D9"/>
            <w:vAlign w:val="bottom"/>
          </w:tcPr>
          <w:p w14:paraId="6A98EF7E" w14:textId="77777777" w:rsidR="005F5B62" w:rsidRPr="00B4147A" w:rsidRDefault="005F5B62" w:rsidP="00F558C8">
            <w:pPr>
              <w:pStyle w:val="BodyTextIndent"/>
              <w:spacing w:after="0"/>
              <w:ind w:left="0"/>
              <w:jc w:val="center"/>
              <w:rPr>
                <w:b/>
                <w:sz w:val="22"/>
                <w:szCs w:val="22"/>
              </w:rPr>
            </w:pPr>
            <w:r w:rsidRPr="00B4147A">
              <w:rPr>
                <w:b/>
                <w:sz w:val="22"/>
                <w:szCs w:val="22"/>
              </w:rPr>
              <w:t>Net Change (</w:t>
            </w:r>
            <w:proofErr w:type="spellStart"/>
            <w:r w:rsidRPr="00B4147A">
              <w:rPr>
                <w:b/>
                <w:sz w:val="22"/>
                <w:szCs w:val="22"/>
              </w:rPr>
              <w:t>tpy</w:t>
            </w:r>
            <w:proofErr w:type="spellEnd"/>
            <w:r w:rsidRPr="00B4147A">
              <w:rPr>
                <w:b/>
                <w:sz w:val="22"/>
                <w:szCs w:val="22"/>
              </w:rPr>
              <w:t>)</w:t>
            </w:r>
          </w:p>
        </w:tc>
        <w:tc>
          <w:tcPr>
            <w:tcW w:w="1980" w:type="dxa"/>
            <w:shd w:val="clear" w:color="auto" w:fill="D9D9D9" w:themeFill="background1" w:themeFillShade="D9"/>
            <w:vAlign w:val="bottom"/>
          </w:tcPr>
          <w:p w14:paraId="082897D5" w14:textId="77777777" w:rsidR="005F5B62" w:rsidRPr="00B4147A" w:rsidRDefault="005F5B62" w:rsidP="00F558C8">
            <w:pPr>
              <w:pStyle w:val="BodyTextIndent"/>
              <w:spacing w:after="0"/>
              <w:ind w:left="0"/>
              <w:jc w:val="center"/>
              <w:rPr>
                <w:b/>
                <w:sz w:val="22"/>
                <w:szCs w:val="22"/>
              </w:rPr>
            </w:pPr>
            <w:r w:rsidRPr="00B4147A">
              <w:rPr>
                <w:b/>
                <w:sz w:val="22"/>
                <w:szCs w:val="22"/>
              </w:rPr>
              <w:t>Significant Emissions Levels</w:t>
            </w:r>
          </w:p>
        </w:tc>
      </w:tr>
      <w:tr w:rsidR="00B4147A" w:rsidRPr="00B4147A" w14:paraId="0D4E68D4" w14:textId="77777777" w:rsidTr="001B3EB6">
        <w:tc>
          <w:tcPr>
            <w:tcW w:w="1278" w:type="dxa"/>
            <w:vAlign w:val="center"/>
          </w:tcPr>
          <w:p w14:paraId="22EE4FB2" w14:textId="77777777" w:rsidR="005F5B62" w:rsidRPr="00950B4F" w:rsidRDefault="005F5B62" w:rsidP="00F558C8">
            <w:pPr>
              <w:pStyle w:val="BodyTextIndent"/>
              <w:spacing w:after="0"/>
              <w:ind w:left="261"/>
              <w:rPr>
                <w:sz w:val="22"/>
                <w:szCs w:val="22"/>
              </w:rPr>
            </w:pPr>
            <w:r w:rsidRPr="00950B4F">
              <w:rPr>
                <w:sz w:val="22"/>
                <w:szCs w:val="22"/>
              </w:rPr>
              <w:t>PM</w:t>
            </w:r>
          </w:p>
        </w:tc>
        <w:tc>
          <w:tcPr>
            <w:tcW w:w="1947" w:type="dxa"/>
            <w:vAlign w:val="center"/>
          </w:tcPr>
          <w:p w14:paraId="2B74359C" w14:textId="16A13709" w:rsidR="005F5B62" w:rsidRPr="00950B4F" w:rsidRDefault="00D75706" w:rsidP="00F558C8">
            <w:pPr>
              <w:pStyle w:val="BodyTextIndent"/>
              <w:spacing w:after="0"/>
              <w:ind w:left="0"/>
              <w:jc w:val="center"/>
              <w:rPr>
                <w:sz w:val="22"/>
                <w:szCs w:val="22"/>
              </w:rPr>
            </w:pPr>
            <w:r w:rsidRPr="00950B4F">
              <w:rPr>
                <w:sz w:val="22"/>
                <w:szCs w:val="22"/>
              </w:rPr>
              <w:t>22.0</w:t>
            </w:r>
          </w:p>
        </w:tc>
        <w:tc>
          <w:tcPr>
            <w:tcW w:w="1771" w:type="dxa"/>
            <w:vAlign w:val="center"/>
          </w:tcPr>
          <w:p w14:paraId="24396243" w14:textId="000C0629" w:rsidR="00446BDF" w:rsidRPr="00950B4F" w:rsidRDefault="00573955" w:rsidP="00446BDF">
            <w:pPr>
              <w:pStyle w:val="BodyTextIndent"/>
              <w:spacing w:after="0"/>
              <w:ind w:left="0"/>
              <w:jc w:val="center"/>
              <w:rPr>
                <w:sz w:val="22"/>
                <w:szCs w:val="22"/>
              </w:rPr>
            </w:pPr>
            <w:r w:rsidRPr="00950B4F">
              <w:rPr>
                <w:sz w:val="22"/>
                <w:szCs w:val="22"/>
              </w:rPr>
              <w:t>1</w:t>
            </w:r>
            <w:r w:rsidR="00446BDF" w:rsidRPr="00950B4F">
              <w:rPr>
                <w:sz w:val="22"/>
                <w:szCs w:val="22"/>
              </w:rPr>
              <w:t>7.4</w:t>
            </w:r>
          </w:p>
        </w:tc>
        <w:tc>
          <w:tcPr>
            <w:tcW w:w="1649" w:type="dxa"/>
            <w:vAlign w:val="center"/>
          </w:tcPr>
          <w:p w14:paraId="487B6DD8" w14:textId="304EC168" w:rsidR="005F5B62" w:rsidRPr="00950B4F" w:rsidRDefault="00573955" w:rsidP="00F558C8">
            <w:pPr>
              <w:pStyle w:val="BodyTextIndent"/>
              <w:spacing w:after="0"/>
              <w:ind w:left="0"/>
              <w:jc w:val="center"/>
              <w:rPr>
                <w:sz w:val="22"/>
                <w:szCs w:val="22"/>
              </w:rPr>
            </w:pPr>
            <w:r w:rsidRPr="00950B4F">
              <w:rPr>
                <w:sz w:val="22"/>
                <w:szCs w:val="22"/>
              </w:rPr>
              <w:t>-</w:t>
            </w:r>
            <w:r w:rsidR="00446BDF" w:rsidRPr="00950B4F">
              <w:rPr>
                <w:sz w:val="22"/>
                <w:szCs w:val="22"/>
              </w:rPr>
              <w:t>4.6</w:t>
            </w:r>
          </w:p>
        </w:tc>
        <w:tc>
          <w:tcPr>
            <w:tcW w:w="1980" w:type="dxa"/>
            <w:vAlign w:val="center"/>
          </w:tcPr>
          <w:p w14:paraId="4231D893" w14:textId="77777777" w:rsidR="005F5B62" w:rsidRPr="00950B4F" w:rsidRDefault="005F5B62" w:rsidP="00F558C8">
            <w:pPr>
              <w:pStyle w:val="BodyTextIndent"/>
              <w:spacing w:after="0"/>
              <w:ind w:left="0"/>
              <w:jc w:val="center"/>
              <w:rPr>
                <w:sz w:val="22"/>
                <w:szCs w:val="22"/>
              </w:rPr>
            </w:pPr>
            <w:r w:rsidRPr="00950B4F">
              <w:rPr>
                <w:sz w:val="22"/>
                <w:szCs w:val="22"/>
              </w:rPr>
              <w:t>100</w:t>
            </w:r>
          </w:p>
        </w:tc>
      </w:tr>
      <w:tr w:rsidR="00B4147A" w:rsidRPr="00B4147A" w14:paraId="67111F5F" w14:textId="77777777" w:rsidTr="001B3EB6">
        <w:tc>
          <w:tcPr>
            <w:tcW w:w="1278" w:type="dxa"/>
            <w:vAlign w:val="center"/>
          </w:tcPr>
          <w:p w14:paraId="1418564C" w14:textId="77777777" w:rsidR="005F5B62" w:rsidRPr="00950B4F" w:rsidRDefault="005F5B62" w:rsidP="00F558C8">
            <w:pPr>
              <w:pStyle w:val="BodyTextIndent"/>
              <w:spacing w:after="0"/>
              <w:ind w:left="261"/>
              <w:rPr>
                <w:sz w:val="22"/>
                <w:szCs w:val="22"/>
              </w:rPr>
            </w:pPr>
            <w:r w:rsidRPr="00950B4F">
              <w:rPr>
                <w:sz w:val="22"/>
                <w:szCs w:val="22"/>
              </w:rPr>
              <w:t>PM</w:t>
            </w:r>
            <w:r w:rsidRPr="00950B4F">
              <w:rPr>
                <w:sz w:val="22"/>
                <w:szCs w:val="22"/>
                <w:vertAlign w:val="subscript"/>
              </w:rPr>
              <w:t>10</w:t>
            </w:r>
          </w:p>
        </w:tc>
        <w:tc>
          <w:tcPr>
            <w:tcW w:w="1947" w:type="dxa"/>
            <w:vAlign w:val="center"/>
          </w:tcPr>
          <w:p w14:paraId="04B36DD1" w14:textId="6EFF488A" w:rsidR="005F5B62" w:rsidRPr="00950B4F" w:rsidRDefault="00D75706" w:rsidP="00F558C8">
            <w:pPr>
              <w:pStyle w:val="BodyTextIndent"/>
              <w:spacing w:after="0"/>
              <w:ind w:left="0"/>
              <w:jc w:val="center"/>
              <w:rPr>
                <w:sz w:val="22"/>
                <w:szCs w:val="22"/>
              </w:rPr>
            </w:pPr>
            <w:r w:rsidRPr="00950B4F">
              <w:rPr>
                <w:sz w:val="22"/>
                <w:szCs w:val="22"/>
              </w:rPr>
              <w:t>22.0</w:t>
            </w:r>
          </w:p>
        </w:tc>
        <w:tc>
          <w:tcPr>
            <w:tcW w:w="1771" w:type="dxa"/>
            <w:vAlign w:val="center"/>
          </w:tcPr>
          <w:p w14:paraId="728893FC" w14:textId="2960EA3E" w:rsidR="005F5B62" w:rsidRPr="00950B4F" w:rsidRDefault="00573955" w:rsidP="00F558C8">
            <w:pPr>
              <w:pStyle w:val="BodyTextIndent"/>
              <w:spacing w:after="0"/>
              <w:ind w:left="0"/>
              <w:jc w:val="center"/>
              <w:rPr>
                <w:sz w:val="22"/>
                <w:szCs w:val="22"/>
              </w:rPr>
            </w:pPr>
            <w:r w:rsidRPr="00950B4F">
              <w:rPr>
                <w:sz w:val="22"/>
                <w:szCs w:val="22"/>
              </w:rPr>
              <w:t>1</w:t>
            </w:r>
            <w:r w:rsidR="004D0CB0" w:rsidRPr="00950B4F">
              <w:rPr>
                <w:sz w:val="22"/>
                <w:szCs w:val="22"/>
              </w:rPr>
              <w:t>6.7</w:t>
            </w:r>
          </w:p>
        </w:tc>
        <w:tc>
          <w:tcPr>
            <w:tcW w:w="1649" w:type="dxa"/>
            <w:vAlign w:val="center"/>
          </w:tcPr>
          <w:p w14:paraId="7CA21910" w14:textId="190BC89A" w:rsidR="005F5B62" w:rsidRPr="00950B4F" w:rsidRDefault="00573955" w:rsidP="00F558C8">
            <w:pPr>
              <w:pStyle w:val="BodyTextIndent"/>
              <w:spacing w:after="0"/>
              <w:ind w:left="0"/>
              <w:jc w:val="center"/>
              <w:rPr>
                <w:sz w:val="22"/>
                <w:szCs w:val="22"/>
              </w:rPr>
            </w:pPr>
            <w:r w:rsidRPr="00950B4F">
              <w:rPr>
                <w:sz w:val="22"/>
                <w:szCs w:val="22"/>
              </w:rPr>
              <w:t>-</w:t>
            </w:r>
            <w:r w:rsidR="004D0CB0" w:rsidRPr="00950B4F">
              <w:rPr>
                <w:sz w:val="22"/>
                <w:szCs w:val="22"/>
              </w:rPr>
              <w:t>5.3</w:t>
            </w:r>
          </w:p>
        </w:tc>
        <w:tc>
          <w:tcPr>
            <w:tcW w:w="1980" w:type="dxa"/>
            <w:vAlign w:val="center"/>
          </w:tcPr>
          <w:p w14:paraId="71A87804" w14:textId="77777777" w:rsidR="005F5B62" w:rsidRPr="00950B4F" w:rsidRDefault="005F5B62" w:rsidP="00F558C8">
            <w:pPr>
              <w:pStyle w:val="BodyTextIndent"/>
              <w:spacing w:after="0"/>
              <w:ind w:left="0"/>
              <w:jc w:val="center"/>
              <w:rPr>
                <w:sz w:val="22"/>
                <w:szCs w:val="22"/>
              </w:rPr>
            </w:pPr>
            <w:r w:rsidRPr="00950B4F">
              <w:rPr>
                <w:sz w:val="22"/>
                <w:szCs w:val="22"/>
              </w:rPr>
              <w:t>100</w:t>
            </w:r>
          </w:p>
        </w:tc>
      </w:tr>
      <w:tr w:rsidR="00B4147A" w:rsidRPr="00B4147A" w14:paraId="59C07EDF" w14:textId="77777777" w:rsidTr="001B3EB6">
        <w:tc>
          <w:tcPr>
            <w:tcW w:w="1278" w:type="dxa"/>
            <w:vAlign w:val="center"/>
          </w:tcPr>
          <w:p w14:paraId="16ED6B56" w14:textId="77777777" w:rsidR="005F5B62" w:rsidRPr="00950B4F" w:rsidRDefault="005F5B62" w:rsidP="00F558C8">
            <w:pPr>
              <w:pStyle w:val="BodyTextIndent"/>
              <w:spacing w:after="0"/>
              <w:ind w:left="261"/>
              <w:rPr>
                <w:sz w:val="22"/>
                <w:szCs w:val="22"/>
              </w:rPr>
            </w:pPr>
            <w:r w:rsidRPr="00950B4F">
              <w:rPr>
                <w:sz w:val="22"/>
                <w:szCs w:val="22"/>
              </w:rPr>
              <w:t>PM</w:t>
            </w:r>
            <w:r w:rsidRPr="00950B4F">
              <w:rPr>
                <w:sz w:val="22"/>
                <w:szCs w:val="22"/>
                <w:vertAlign w:val="subscript"/>
              </w:rPr>
              <w:t>2.5</w:t>
            </w:r>
          </w:p>
        </w:tc>
        <w:tc>
          <w:tcPr>
            <w:tcW w:w="1947" w:type="dxa"/>
            <w:vAlign w:val="center"/>
          </w:tcPr>
          <w:p w14:paraId="2D3B8455" w14:textId="6F71669D" w:rsidR="005F5B62" w:rsidRPr="00950B4F" w:rsidRDefault="00D75706" w:rsidP="00F558C8">
            <w:pPr>
              <w:pStyle w:val="BodyTextIndent"/>
              <w:spacing w:after="0"/>
              <w:ind w:left="0"/>
              <w:jc w:val="center"/>
              <w:rPr>
                <w:sz w:val="22"/>
                <w:szCs w:val="22"/>
              </w:rPr>
            </w:pPr>
            <w:r w:rsidRPr="00950B4F">
              <w:rPr>
                <w:sz w:val="22"/>
                <w:szCs w:val="22"/>
              </w:rPr>
              <w:t>22.0</w:t>
            </w:r>
          </w:p>
        </w:tc>
        <w:tc>
          <w:tcPr>
            <w:tcW w:w="1771" w:type="dxa"/>
            <w:vAlign w:val="center"/>
          </w:tcPr>
          <w:p w14:paraId="5F506C4C" w14:textId="5EF91A7F" w:rsidR="005F5B62" w:rsidRPr="00950B4F" w:rsidRDefault="00573955" w:rsidP="00F558C8">
            <w:pPr>
              <w:pStyle w:val="BodyTextIndent"/>
              <w:spacing w:after="0"/>
              <w:ind w:left="0"/>
              <w:jc w:val="center"/>
              <w:rPr>
                <w:sz w:val="22"/>
                <w:szCs w:val="22"/>
              </w:rPr>
            </w:pPr>
            <w:r w:rsidRPr="00950B4F">
              <w:rPr>
                <w:sz w:val="22"/>
                <w:szCs w:val="22"/>
              </w:rPr>
              <w:t>1</w:t>
            </w:r>
            <w:r w:rsidR="004D0CB0" w:rsidRPr="00950B4F">
              <w:rPr>
                <w:sz w:val="22"/>
                <w:szCs w:val="22"/>
              </w:rPr>
              <w:t>6.7</w:t>
            </w:r>
          </w:p>
        </w:tc>
        <w:tc>
          <w:tcPr>
            <w:tcW w:w="1649" w:type="dxa"/>
            <w:vAlign w:val="center"/>
          </w:tcPr>
          <w:p w14:paraId="2B577B06" w14:textId="566CA853" w:rsidR="005F5B62" w:rsidRPr="00950B4F" w:rsidRDefault="00573955" w:rsidP="00F558C8">
            <w:pPr>
              <w:pStyle w:val="BodyTextIndent"/>
              <w:spacing w:after="0"/>
              <w:ind w:left="0"/>
              <w:jc w:val="center"/>
              <w:rPr>
                <w:sz w:val="22"/>
                <w:szCs w:val="22"/>
              </w:rPr>
            </w:pPr>
            <w:r w:rsidRPr="00950B4F">
              <w:rPr>
                <w:sz w:val="22"/>
                <w:szCs w:val="22"/>
              </w:rPr>
              <w:t>-</w:t>
            </w:r>
            <w:r w:rsidR="004D0CB0" w:rsidRPr="00950B4F">
              <w:rPr>
                <w:sz w:val="22"/>
                <w:szCs w:val="22"/>
              </w:rPr>
              <w:t>5.3</w:t>
            </w:r>
          </w:p>
        </w:tc>
        <w:tc>
          <w:tcPr>
            <w:tcW w:w="1980" w:type="dxa"/>
            <w:vAlign w:val="center"/>
          </w:tcPr>
          <w:p w14:paraId="56175FBB" w14:textId="77777777" w:rsidR="005F5B62" w:rsidRPr="00950B4F" w:rsidRDefault="005F5B62" w:rsidP="00F558C8">
            <w:pPr>
              <w:pStyle w:val="BodyTextIndent"/>
              <w:spacing w:after="0"/>
              <w:ind w:left="0"/>
              <w:jc w:val="center"/>
              <w:rPr>
                <w:sz w:val="22"/>
                <w:szCs w:val="22"/>
              </w:rPr>
            </w:pPr>
            <w:r w:rsidRPr="00950B4F">
              <w:rPr>
                <w:sz w:val="22"/>
                <w:szCs w:val="22"/>
              </w:rPr>
              <w:t>100</w:t>
            </w:r>
          </w:p>
        </w:tc>
      </w:tr>
      <w:tr w:rsidR="00B4147A" w:rsidRPr="00B4147A" w14:paraId="12677166" w14:textId="77777777" w:rsidTr="001B3EB6">
        <w:tc>
          <w:tcPr>
            <w:tcW w:w="1278" w:type="dxa"/>
            <w:vAlign w:val="center"/>
          </w:tcPr>
          <w:p w14:paraId="48D0071B" w14:textId="77777777" w:rsidR="005F5B62" w:rsidRPr="00950B4F" w:rsidRDefault="005F5B62" w:rsidP="00F558C8">
            <w:pPr>
              <w:pStyle w:val="BodyTextIndent"/>
              <w:spacing w:after="0"/>
              <w:ind w:left="261"/>
              <w:rPr>
                <w:sz w:val="22"/>
                <w:szCs w:val="22"/>
              </w:rPr>
            </w:pPr>
            <w:r w:rsidRPr="00950B4F">
              <w:rPr>
                <w:sz w:val="22"/>
                <w:szCs w:val="22"/>
              </w:rPr>
              <w:t>SO</w:t>
            </w:r>
            <w:r w:rsidRPr="00950B4F">
              <w:rPr>
                <w:sz w:val="22"/>
                <w:szCs w:val="22"/>
                <w:vertAlign w:val="subscript"/>
              </w:rPr>
              <w:t>2</w:t>
            </w:r>
          </w:p>
        </w:tc>
        <w:tc>
          <w:tcPr>
            <w:tcW w:w="1947" w:type="dxa"/>
            <w:vAlign w:val="center"/>
          </w:tcPr>
          <w:p w14:paraId="6FAD6555" w14:textId="76E1C1D9" w:rsidR="005F5B62" w:rsidRPr="00950B4F" w:rsidRDefault="00D75706" w:rsidP="00F558C8">
            <w:pPr>
              <w:pStyle w:val="BodyTextIndent"/>
              <w:spacing w:after="0"/>
              <w:ind w:left="0"/>
              <w:jc w:val="center"/>
              <w:rPr>
                <w:sz w:val="22"/>
                <w:szCs w:val="22"/>
              </w:rPr>
            </w:pPr>
            <w:r w:rsidRPr="00950B4F">
              <w:rPr>
                <w:sz w:val="22"/>
                <w:szCs w:val="22"/>
              </w:rPr>
              <w:t>0.8</w:t>
            </w:r>
          </w:p>
        </w:tc>
        <w:tc>
          <w:tcPr>
            <w:tcW w:w="1771" w:type="dxa"/>
            <w:vAlign w:val="center"/>
          </w:tcPr>
          <w:p w14:paraId="6A155581" w14:textId="20412B54" w:rsidR="005F5B62" w:rsidRPr="00950B4F" w:rsidRDefault="00573955" w:rsidP="00F558C8">
            <w:pPr>
              <w:pStyle w:val="BodyTextIndent"/>
              <w:spacing w:after="0"/>
              <w:ind w:left="0"/>
              <w:jc w:val="center"/>
              <w:rPr>
                <w:sz w:val="22"/>
                <w:szCs w:val="22"/>
              </w:rPr>
            </w:pPr>
            <w:r w:rsidRPr="00950B4F">
              <w:rPr>
                <w:sz w:val="22"/>
                <w:szCs w:val="22"/>
              </w:rPr>
              <w:t>0.2</w:t>
            </w:r>
          </w:p>
        </w:tc>
        <w:tc>
          <w:tcPr>
            <w:tcW w:w="1649" w:type="dxa"/>
            <w:vAlign w:val="center"/>
          </w:tcPr>
          <w:p w14:paraId="4F7E17CB" w14:textId="64FE9BBC" w:rsidR="005F5B62" w:rsidRPr="00950B4F" w:rsidRDefault="00573955" w:rsidP="00F558C8">
            <w:pPr>
              <w:pStyle w:val="BodyTextIndent"/>
              <w:spacing w:after="0"/>
              <w:ind w:left="0"/>
              <w:jc w:val="center"/>
              <w:rPr>
                <w:sz w:val="22"/>
                <w:szCs w:val="22"/>
              </w:rPr>
            </w:pPr>
            <w:r w:rsidRPr="00950B4F">
              <w:rPr>
                <w:sz w:val="22"/>
                <w:szCs w:val="22"/>
              </w:rPr>
              <w:t>-0.6</w:t>
            </w:r>
          </w:p>
        </w:tc>
        <w:tc>
          <w:tcPr>
            <w:tcW w:w="1980" w:type="dxa"/>
            <w:vAlign w:val="center"/>
          </w:tcPr>
          <w:p w14:paraId="3363B019" w14:textId="77777777" w:rsidR="005F5B62" w:rsidRPr="00950B4F" w:rsidRDefault="005F5B62" w:rsidP="00F558C8">
            <w:pPr>
              <w:pStyle w:val="BodyTextIndent"/>
              <w:spacing w:after="0"/>
              <w:ind w:left="0"/>
              <w:jc w:val="center"/>
              <w:rPr>
                <w:sz w:val="22"/>
                <w:szCs w:val="22"/>
              </w:rPr>
            </w:pPr>
            <w:r w:rsidRPr="00950B4F">
              <w:rPr>
                <w:sz w:val="22"/>
                <w:szCs w:val="22"/>
              </w:rPr>
              <w:t>100</w:t>
            </w:r>
          </w:p>
        </w:tc>
      </w:tr>
      <w:tr w:rsidR="00B4147A" w:rsidRPr="00B4147A" w14:paraId="525A56AA" w14:textId="77777777" w:rsidTr="001B3EB6">
        <w:tc>
          <w:tcPr>
            <w:tcW w:w="1278" w:type="dxa"/>
            <w:vAlign w:val="center"/>
          </w:tcPr>
          <w:p w14:paraId="25760004" w14:textId="77777777" w:rsidR="005F5B62" w:rsidRPr="00950B4F" w:rsidRDefault="005F5B62" w:rsidP="00F558C8">
            <w:pPr>
              <w:pStyle w:val="BodyTextIndent"/>
              <w:spacing w:after="0"/>
              <w:ind w:left="261"/>
              <w:rPr>
                <w:sz w:val="22"/>
                <w:szCs w:val="22"/>
              </w:rPr>
            </w:pPr>
            <w:r w:rsidRPr="00950B4F">
              <w:rPr>
                <w:sz w:val="22"/>
                <w:szCs w:val="22"/>
              </w:rPr>
              <w:t>NO</w:t>
            </w:r>
            <w:r w:rsidRPr="00950B4F">
              <w:rPr>
                <w:sz w:val="22"/>
                <w:szCs w:val="22"/>
                <w:vertAlign w:val="subscript"/>
              </w:rPr>
              <w:t>x</w:t>
            </w:r>
          </w:p>
        </w:tc>
        <w:tc>
          <w:tcPr>
            <w:tcW w:w="1947" w:type="dxa"/>
            <w:vAlign w:val="center"/>
          </w:tcPr>
          <w:p w14:paraId="3AEB6881" w14:textId="19957626" w:rsidR="005F5B62" w:rsidRPr="00950B4F" w:rsidRDefault="00D75706" w:rsidP="00F558C8">
            <w:pPr>
              <w:pStyle w:val="BodyTextIndent"/>
              <w:spacing w:after="0"/>
              <w:ind w:left="0"/>
              <w:jc w:val="center"/>
              <w:rPr>
                <w:sz w:val="22"/>
                <w:szCs w:val="22"/>
              </w:rPr>
            </w:pPr>
            <w:r w:rsidRPr="00950B4F">
              <w:rPr>
                <w:sz w:val="22"/>
                <w:szCs w:val="22"/>
              </w:rPr>
              <w:t>42.4</w:t>
            </w:r>
          </w:p>
        </w:tc>
        <w:tc>
          <w:tcPr>
            <w:tcW w:w="1771" w:type="dxa"/>
            <w:vAlign w:val="center"/>
          </w:tcPr>
          <w:p w14:paraId="7414E88A" w14:textId="441893F4" w:rsidR="005F5B62" w:rsidRPr="00950B4F" w:rsidRDefault="00573955" w:rsidP="00F558C8">
            <w:pPr>
              <w:pStyle w:val="BodyTextIndent"/>
              <w:spacing w:after="0"/>
              <w:ind w:left="0"/>
              <w:jc w:val="center"/>
              <w:rPr>
                <w:sz w:val="22"/>
                <w:szCs w:val="22"/>
              </w:rPr>
            </w:pPr>
            <w:r w:rsidRPr="00950B4F">
              <w:rPr>
                <w:sz w:val="22"/>
                <w:szCs w:val="22"/>
              </w:rPr>
              <w:t>31.6</w:t>
            </w:r>
          </w:p>
        </w:tc>
        <w:tc>
          <w:tcPr>
            <w:tcW w:w="1649" w:type="dxa"/>
            <w:vAlign w:val="center"/>
          </w:tcPr>
          <w:p w14:paraId="6129E181" w14:textId="2BF6B229" w:rsidR="005F5B62" w:rsidRPr="00950B4F" w:rsidRDefault="00573955" w:rsidP="00F558C8">
            <w:pPr>
              <w:pStyle w:val="BodyTextIndent"/>
              <w:spacing w:after="0"/>
              <w:ind w:left="0"/>
              <w:jc w:val="center"/>
              <w:rPr>
                <w:sz w:val="22"/>
                <w:szCs w:val="22"/>
              </w:rPr>
            </w:pPr>
            <w:r w:rsidRPr="00950B4F">
              <w:rPr>
                <w:sz w:val="22"/>
                <w:szCs w:val="22"/>
              </w:rPr>
              <w:t>-10.8</w:t>
            </w:r>
          </w:p>
        </w:tc>
        <w:tc>
          <w:tcPr>
            <w:tcW w:w="1980" w:type="dxa"/>
            <w:vAlign w:val="center"/>
          </w:tcPr>
          <w:p w14:paraId="1EBCF6F2" w14:textId="77777777" w:rsidR="005F5B62" w:rsidRPr="00950B4F" w:rsidRDefault="005F5B62" w:rsidP="00F558C8">
            <w:pPr>
              <w:pStyle w:val="BodyTextIndent"/>
              <w:spacing w:after="0"/>
              <w:ind w:left="0"/>
              <w:jc w:val="center"/>
              <w:rPr>
                <w:sz w:val="22"/>
                <w:szCs w:val="22"/>
              </w:rPr>
            </w:pPr>
            <w:r w:rsidRPr="00950B4F">
              <w:rPr>
                <w:sz w:val="22"/>
                <w:szCs w:val="22"/>
              </w:rPr>
              <w:t>100</w:t>
            </w:r>
          </w:p>
        </w:tc>
      </w:tr>
      <w:tr w:rsidR="00B4147A" w:rsidRPr="00B4147A" w14:paraId="5BF4020B" w14:textId="77777777" w:rsidTr="001B3EB6">
        <w:tc>
          <w:tcPr>
            <w:tcW w:w="1278" w:type="dxa"/>
            <w:vAlign w:val="center"/>
          </w:tcPr>
          <w:p w14:paraId="6EBB8CCD" w14:textId="77777777" w:rsidR="005F5B62" w:rsidRPr="00B4147A" w:rsidRDefault="005F5B62" w:rsidP="00F558C8">
            <w:pPr>
              <w:pStyle w:val="BodyTextIndent"/>
              <w:spacing w:after="0"/>
              <w:ind w:left="261"/>
              <w:rPr>
                <w:sz w:val="22"/>
                <w:szCs w:val="22"/>
              </w:rPr>
            </w:pPr>
            <w:r w:rsidRPr="00B4147A">
              <w:rPr>
                <w:sz w:val="22"/>
                <w:szCs w:val="22"/>
              </w:rPr>
              <w:t>CO</w:t>
            </w:r>
          </w:p>
        </w:tc>
        <w:tc>
          <w:tcPr>
            <w:tcW w:w="1947" w:type="dxa"/>
            <w:vAlign w:val="center"/>
          </w:tcPr>
          <w:p w14:paraId="2C157488" w14:textId="7B44D4FB" w:rsidR="005F5B62" w:rsidRPr="00B4147A" w:rsidRDefault="00D75706" w:rsidP="00F558C8">
            <w:pPr>
              <w:pStyle w:val="BodyTextIndent"/>
              <w:spacing w:after="0"/>
              <w:ind w:left="0"/>
              <w:jc w:val="center"/>
              <w:rPr>
                <w:sz w:val="22"/>
                <w:szCs w:val="22"/>
              </w:rPr>
            </w:pPr>
            <w:r>
              <w:rPr>
                <w:sz w:val="22"/>
                <w:szCs w:val="22"/>
              </w:rPr>
              <w:t>24.1</w:t>
            </w:r>
          </w:p>
        </w:tc>
        <w:tc>
          <w:tcPr>
            <w:tcW w:w="1771" w:type="dxa"/>
            <w:vAlign w:val="center"/>
          </w:tcPr>
          <w:p w14:paraId="4E245A26" w14:textId="68D82618" w:rsidR="005F5B62" w:rsidRPr="00B4147A" w:rsidRDefault="00573955" w:rsidP="00F558C8">
            <w:pPr>
              <w:pStyle w:val="BodyTextIndent"/>
              <w:spacing w:after="0"/>
              <w:ind w:left="0"/>
              <w:jc w:val="center"/>
              <w:rPr>
                <w:sz w:val="22"/>
                <w:szCs w:val="22"/>
              </w:rPr>
            </w:pPr>
            <w:r>
              <w:rPr>
                <w:sz w:val="22"/>
                <w:szCs w:val="22"/>
              </w:rPr>
              <w:t>23.</w:t>
            </w:r>
            <w:r w:rsidR="00446BDF">
              <w:rPr>
                <w:sz w:val="22"/>
                <w:szCs w:val="22"/>
              </w:rPr>
              <w:t>2</w:t>
            </w:r>
          </w:p>
        </w:tc>
        <w:tc>
          <w:tcPr>
            <w:tcW w:w="1649" w:type="dxa"/>
            <w:vAlign w:val="center"/>
          </w:tcPr>
          <w:p w14:paraId="63A34E5A" w14:textId="22CE0879" w:rsidR="005F5B62" w:rsidRPr="00B4147A" w:rsidRDefault="00573955" w:rsidP="00F558C8">
            <w:pPr>
              <w:pStyle w:val="BodyTextIndent"/>
              <w:spacing w:after="0"/>
              <w:ind w:left="0"/>
              <w:jc w:val="center"/>
              <w:rPr>
                <w:sz w:val="22"/>
                <w:szCs w:val="22"/>
              </w:rPr>
            </w:pPr>
            <w:r>
              <w:rPr>
                <w:sz w:val="22"/>
                <w:szCs w:val="22"/>
              </w:rPr>
              <w:t>-0.</w:t>
            </w:r>
            <w:r w:rsidR="00446BDF">
              <w:rPr>
                <w:sz w:val="22"/>
                <w:szCs w:val="22"/>
              </w:rPr>
              <w:t>9</w:t>
            </w:r>
          </w:p>
        </w:tc>
        <w:tc>
          <w:tcPr>
            <w:tcW w:w="1980" w:type="dxa"/>
            <w:vAlign w:val="center"/>
          </w:tcPr>
          <w:p w14:paraId="0B01B7C7"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2007D477" w14:textId="77777777" w:rsidTr="001B3EB6">
        <w:tc>
          <w:tcPr>
            <w:tcW w:w="1278" w:type="dxa"/>
            <w:vAlign w:val="center"/>
          </w:tcPr>
          <w:p w14:paraId="3AFF350A" w14:textId="77777777" w:rsidR="005F5B62" w:rsidRPr="00B4147A" w:rsidRDefault="005F5B62" w:rsidP="00F558C8">
            <w:pPr>
              <w:pStyle w:val="BodyTextIndent"/>
              <w:spacing w:after="0"/>
              <w:ind w:left="261"/>
              <w:rPr>
                <w:sz w:val="22"/>
                <w:szCs w:val="22"/>
              </w:rPr>
            </w:pPr>
            <w:r w:rsidRPr="00B4147A">
              <w:rPr>
                <w:sz w:val="22"/>
                <w:szCs w:val="22"/>
              </w:rPr>
              <w:t>VOC</w:t>
            </w:r>
          </w:p>
        </w:tc>
        <w:tc>
          <w:tcPr>
            <w:tcW w:w="1947" w:type="dxa"/>
            <w:vAlign w:val="center"/>
          </w:tcPr>
          <w:p w14:paraId="6BA2A0B0" w14:textId="0877B9B5" w:rsidR="005F5B62" w:rsidRPr="00B4147A" w:rsidRDefault="00D75706" w:rsidP="00F558C8">
            <w:pPr>
              <w:pStyle w:val="BodyTextIndent"/>
              <w:spacing w:after="0"/>
              <w:ind w:left="0"/>
              <w:jc w:val="center"/>
              <w:rPr>
                <w:sz w:val="22"/>
                <w:szCs w:val="22"/>
              </w:rPr>
            </w:pPr>
            <w:r>
              <w:rPr>
                <w:sz w:val="22"/>
                <w:szCs w:val="22"/>
              </w:rPr>
              <w:t>48.8</w:t>
            </w:r>
          </w:p>
        </w:tc>
        <w:tc>
          <w:tcPr>
            <w:tcW w:w="1771" w:type="dxa"/>
            <w:vAlign w:val="center"/>
          </w:tcPr>
          <w:p w14:paraId="58FB7AE5" w14:textId="656585CB" w:rsidR="005F5B62" w:rsidRPr="00B4147A" w:rsidRDefault="00573955" w:rsidP="00F558C8">
            <w:pPr>
              <w:pStyle w:val="BodyTextIndent"/>
              <w:spacing w:after="0"/>
              <w:ind w:left="0"/>
              <w:jc w:val="center"/>
              <w:rPr>
                <w:sz w:val="22"/>
                <w:szCs w:val="22"/>
              </w:rPr>
            </w:pPr>
            <w:r>
              <w:rPr>
                <w:sz w:val="22"/>
                <w:szCs w:val="22"/>
              </w:rPr>
              <w:t>48.</w:t>
            </w:r>
            <w:r w:rsidR="00446BDF">
              <w:rPr>
                <w:sz w:val="22"/>
                <w:szCs w:val="22"/>
              </w:rPr>
              <w:t>6</w:t>
            </w:r>
          </w:p>
        </w:tc>
        <w:tc>
          <w:tcPr>
            <w:tcW w:w="1649" w:type="dxa"/>
            <w:vAlign w:val="center"/>
          </w:tcPr>
          <w:p w14:paraId="42A67FE1" w14:textId="74F94AAF" w:rsidR="005F5B62" w:rsidRPr="00B4147A" w:rsidRDefault="00573955" w:rsidP="00F558C8">
            <w:pPr>
              <w:pStyle w:val="BodyTextIndent"/>
              <w:spacing w:after="0"/>
              <w:ind w:left="0"/>
              <w:jc w:val="center"/>
              <w:rPr>
                <w:sz w:val="22"/>
                <w:szCs w:val="22"/>
              </w:rPr>
            </w:pPr>
            <w:r>
              <w:rPr>
                <w:sz w:val="22"/>
                <w:szCs w:val="22"/>
              </w:rPr>
              <w:t>-0.</w:t>
            </w:r>
            <w:r w:rsidR="00446BDF">
              <w:rPr>
                <w:sz w:val="22"/>
                <w:szCs w:val="22"/>
              </w:rPr>
              <w:t>2</w:t>
            </w:r>
          </w:p>
        </w:tc>
        <w:tc>
          <w:tcPr>
            <w:tcW w:w="1980" w:type="dxa"/>
            <w:vAlign w:val="center"/>
          </w:tcPr>
          <w:p w14:paraId="64475800" w14:textId="33F905FA" w:rsidR="005F5B62" w:rsidRPr="009C34DC" w:rsidRDefault="005F5B62" w:rsidP="009C34DC">
            <w:pPr>
              <w:pStyle w:val="BodyTextIndent"/>
              <w:spacing w:after="0"/>
              <w:ind w:left="0"/>
              <w:jc w:val="center"/>
              <w:rPr>
                <w:sz w:val="22"/>
                <w:szCs w:val="22"/>
              </w:rPr>
            </w:pPr>
            <w:r w:rsidRPr="009C34DC">
              <w:rPr>
                <w:sz w:val="22"/>
                <w:szCs w:val="22"/>
              </w:rPr>
              <w:t>50*</w:t>
            </w:r>
          </w:p>
        </w:tc>
      </w:tr>
    </w:tbl>
    <w:p w14:paraId="7D758F8F" w14:textId="77777777" w:rsidR="005F5B62" w:rsidRPr="00B4147A" w:rsidRDefault="005F5B62" w:rsidP="00F558C8">
      <w:pPr>
        <w:pStyle w:val="BodyTextIndent"/>
        <w:spacing w:after="0"/>
      </w:pPr>
    </w:p>
    <w:p w14:paraId="2211674D" w14:textId="70900980" w:rsidR="005F5B62" w:rsidRPr="00B4147A" w:rsidRDefault="005F5B62" w:rsidP="00F558C8">
      <w:pPr>
        <w:pStyle w:val="BodyTextIndent"/>
        <w:spacing w:after="0"/>
        <w:ind w:left="900" w:hanging="180"/>
      </w:pPr>
      <w:bookmarkStart w:id="1" w:name="_Hlk95910804"/>
      <w:r w:rsidRPr="00B4147A">
        <w:t xml:space="preserve">* </w:t>
      </w:r>
      <w:r w:rsidR="009C34DC">
        <w:t>BIW</w:t>
      </w:r>
      <w:r w:rsidRPr="00B4147A">
        <w:t xml:space="preserve"> </w:t>
      </w:r>
      <w:proofErr w:type="gramStart"/>
      <w:r w:rsidRPr="00B4147A">
        <w:t>is located in</w:t>
      </w:r>
      <w:proofErr w:type="gramEnd"/>
      <w:r w:rsidRPr="00B4147A">
        <w:t xml:space="preserve"> an area of the state included in the Ozone Transport Region. Therefore, the significant emission</w:t>
      </w:r>
      <w:r w:rsidR="007C5B34">
        <w:t>s</w:t>
      </w:r>
      <w:r w:rsidRPr="00B4147A">
        <w:t xml:space="preserve"> level for VOC is 50 </w:t>
      </w:r>
      <w:proofErr w:type="spellStart"/>
      <w:r w:rsidRPr="00B4147A">
        <w:t>tpy</w:t>
      </w:r>
      <w:proofErr w:type="spellEnd"/>
      <w:r w:rsidRPr="00B4147A">
        <w:t xml:space="preserve">. </w:t>
      </w:r>
    </w:p>
    <w:bookmarkEnd w:id="1"/>
    <w:p w14:paraId="10B4B33E" w14:textId="77777777" w:rsidR="005F5B62" w:rsidRPr="00B4147A" w:rsidRDefault="005F5B62" w:rsidP="00F558C8">
      <w:pPr>
        <w:pStyle w:val="BodyTextIndent"/>
        <w:spacing w:after="0"/>
      </w:pPr>
    </w:p>
    <w:p w14:paraId="7F4D02D3" w14:textId="77777777" w:rsidR="005F5B62" w:rsidRPr="00B4147A" w:rsidRDefault="005F5B62" w:rsidP="00F558C8">
      <w:pPr>
        <w:pStyle w:val="BodyTextIndent"/>
        <w:spacing w:after="0"/>
        <w:ind w:left="720"/>
      </w:pPr>
      <w:r w:rsidRPr="00B4147A">
        <w:t>This modification is determined to be a minor modification and has been processed as such.</w:t>
      </w:r>
    </w:p>
    <w:p w14:paraId="21AE4C3D" w14:textId="77777777" w:rsidR="005F5B62" w:rsidRPr="00197C72" w:rsidRDefault="005F5B62" w:rsidP="005F5B62"/>
    <w:p w14:paraId="36AF9428" w14:textId="77777777" w:rsidR="005F5B62" w:rsidRPr="00D44139" w:rsidRDefault="005F5B62" w:rsidP="005F5B62">
      <w:pPr>
        <w:pStyle w:val="Heading3"/>
      </w:pPr>
      <w:r w:rsidRPr="00D44139">
        <w:t>Facility Classification</w:t>
      </w:r>
    </w:p>
    <w:p w14:paraId="08D38DC3" w14:textId="77777777" w:rsidR="005F5B62" w:rsidRPr="00D44139" w:rsidRDefault="005F5B62" w:rsidP="00F558C8">
      <w:pPr>
        <w:ind w:left="360"/>
      </w:pPr>
    </w:p>
    <w:p w14:paraId="31F8A272" w14:textId="2F075449" w:rsidR="005F5B62" w:rsidRDefault="005F5B62" w:rsidP="00F558C8">
      <w:pPr>
        <w:pStyle w:val="BodyTextIndent"/>
        <w:spacing w:after="0"/>
        <w:ind w:left="720"/>
      </w:pPr>
      <w:r>
        <w:t xml:space="preserve">With the annual fuel limit on </w:t>
      </w:r>
      <w:r w:rsidR="009C34DC">
        <w:t xml:space="preserve">distillate fuel-fired boilers and heaters and the facility-wide VOC emissions limit, </w:t>
      </w:r>
      <w:r>
        <w:t>the facility is licensed as follows:</w:t>
      </w:r>
    </w:p>
    <w:p w14:paraId="2A7CCB34" w14:textId="03E60B58" w:rsidR="005F5B62" w:rsidRDefault="005F5B62" w:rsidP="00F558C8">
      <w:pPr>
        <w:numPr>
          <w:ilvl w:val="0"/>
          <w:numId w:val="9"/>
        </w:numPr>
        <w:ind w:left="1440"/>
      </w:pPr>
      <w:r>
        <w:t xml:space="preserve">As a synthetic minor source of air emissions for criteria pollutants, because </w:t>
      </w:r>
      <w:r w:rsidR="009C34DC">
        <w:t>BIW</w:t>
      </w:r>
      <w:r>
        <w:t xml:space="preserve"> is subject to license restrictions that keep facility emissions below major source thresholds for</w:t>
      </w:r>
      <w:r w:rsidR="001A503E">
        <w:t xml:space="preserve"> NO</w:t>
      </w:r>
      <w:r w:rsidR="001A503E">
        <w:rPr>
          <w:vertAlign w:val="subscript"/>
        </w:rPr>
        <w:t>x</w:t>
      </w:r>
      <w:r w:rsidR="001A503E">
        <w:t xml:space="preserve"> and</w:t>
      </w:r>
      <w:r w:rsidR="009C34DC">
        <w:t xml:space="preserve"> VOC</w:t>
      </w:r>
      <w:r>
        <w:t>; and</w:t>
      </w:r>
    </w:p>
    <w:p w14:paraId="108C50ED"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72094F10" w14:textId="77777777" w:rsidR="005F5B62" w:rsidRDefault="005F5B62" w:rsidP="00F558C8">
      <w:pPr>
        <w:pStyle w:val="BodyTextIndent"/>
        <w:spacing w:after="0"/>
        <w:ind w:left="720"/>
      </w:pPr>
    </w:p>
    <w:p w14:paraId="6A2B1724" w14:textId="755C712A" w:rsidR="005F5B62" w:rsidRPr="00C11D44" w:rsidRDefault="005F5B62" w:rsidP="00F558C8">
      <w:pPr>
        <w:pStyle w:val="BodyTextIndent"/>
        <w:spacing w:after="0"/>
        <w:ind w:left="720"/>
        <w:rPr>
          <w:b/>
          <w:bCs/>
        </w:rPr>
      </w:pPr>
      <w:r>
        <w:t xml:space="preserve">Emissions of </w:t>
      </w:r>
      <w:r w:rsidR="009C34DC">
        <w:t>VOC</w:t>
      </w:r>
      <w:r>
        <w:t xml:space="preserve"> are licensed above 80% of the major source threshold. Therefore, this facility is classified as an “80% Synthetic Minor” for the purpose of determining the minimum required compliance inspection frequency in accordance with Maine’s Compliance Monitoring Strategy.</w:t>
      </w:r>
    </w:p>
    <w:p w14:paraId="1223A383" w14:textId="77777777" w:rsidR="00F558C8" w:rsidRDefault="00F558C8" w:rsidP="00F558C8"/>
    <w:p w14:paraId="788A97D6" w14:textId="77777777" w:rsidR="00F71356" w:rsidRDefault="00F71356">
      <w:pPr>
        <w:jc w:val="left"/>
        <w:rPr>
          <w:b/>
          <w:bCs/>
        </w:rPr>
      </w:pPr>
      <w:r>
        <w:br w:type="page"/>
      </w:r>
    </w:p>
    <w:p w14:paraId="7C448D7C" w14:textId="048B8C1B" w:rsidR="00F558C8" w:rsidRPr="009A2573" w:rsidRDefault="00F558C8" w:rsidP="00F558C8">
      <w:pPr>
        <w:pStyle w:val="Heading2"/>
      </w:pPr>
      <w:r w:rsidRPr="009A2573">
        <w:lastRenderedPageBreak/>
        <w:t>BEST PRACTICAL TREATMENT (BPT)</w:t>
      </w:r>
    </w:p>
    <w:p w14:paraId="6CF4D763" w14:textId="77777777" w:rsidR="00F558C8" w:rsidRDefault="00F558C8" w:rsidP="00F558C8"/>
    <w:p w14:paraId="07F7EF39" w14:textId="77777777" w:rsidR="00F558C8" w:rsidRDefault="00F558C8" w:rsidP="00B4147A">
      <w:pPr>
        <w:pStyle w:val="Heading3"/>
        <w:numPr>
          <w:ilvl w:val="0"/>
          <w:numId w:val="11"/>
        </w:numPr>
      </w:pPr>
      <w:r w:rsidRPr="00F558C8">
        <w:t>Introduction</w:t>
      </w:r>
    </w:p>
    <w:p w14:paraId="4DA113BB" w14:textId="77777777" w:rsidR="00F558C8" w:rsidRDefault="00F558C8" w:rsidP="00B4147A">
      <w:pPr>
        <w:pStyle w:val="BodyTextIndent"/>
        <w:spacing w:after="0"/>
        <w:ind w:left="720"/>
      </w:pPr>
    </w:p>
    <w:p w14:paraId="377EC55A" w14:textId="77777777" w:rsidR="00F558C8" w:rsidRDefault="00F558C8" w:rsidP="00B4147A">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ch. 100. Separate control requirement categories exist for new and existing equipment. </w:t>
      </w:r>
    </w:p>
    <w:p w14:paraId="1565CE10" w14:textId="77777777" w:rsidR="00F558C8" w:rsidRDefault="00F558C8" w:rsidP="00B4147A">
      <w:pPr>
        <w:pStyle w:val="BodyTextIndent"/>
        <w:spacing w:after="0"/>
        <w:ind w:left="720"/>
      </w:pPr>
    </w:p>
    <w:p w14:paraId="190EA04F" w14:textId="77777777" w:rsidR="00F558C8" w:rsidRDefault="00F558C8" w:rsidP="00B4147A">
      <w:pPr>
        <w:pStyle w:val="BodyTextIndent"/>
        <w:spacing w:after="0"/>
        <w:ind w:left="720"/>
      </w:pPr>
      <w:r>
        <w:t xml:space="preserve">BPT for new sources and modifications requires a demonstration that emissions are receiving Best Available Control Technology (BACT), as defined in </w:t>
      </w:r>
      <w:r>
        <w:rPr>
          <w:i/>
        </w:rPr>
        <w:t>Definitions Regulation</w:t>
      </w:r>
      <w:r>
        <w:t>, 06-096 C.M.R. ch. 100. BACT is a top-down approach to selecting air emission controls considering economic, environmental, and energy impacts.</w:t>
      </w:r>
    </w:p>
    <w:p w14:paraId="12C1B620" w14:textId="77777777" w:rsidR="00F558C8" w:rsidRDefault="00F558C8" w:rsidP="00B4147A">
      <w:pPr>
        <w:ind w:left="360"/>
      </w:pPr>
    </w:p>
    <w:p w14:paraId="1522CD89" w14:textId="00A8BC97" w:rsidR="003F1C26" w:rsidRDefault="00B4147A" w:rsidP="00B4147A">
      <w:pPr>
        <w:pStyle w:val="Heading3"/>
      </w:pPr>
      <w:r>
        <w:t>Boiler #</w:t>
      </w:r>
      <w:r w:rsidR="00C74FE4">
        <w:t>3</w:t>
      </w:r>
      <w:r w:rsidR="00340F4E">
        <w:t xml:space="preserve"> and Steam Boiler #1</w:t>
      </w:r>
    </w:p>
    <w:p w14:paraId="7333CF24" w14:textId="77777777" w:rsidR="00B4147A" w:rsidRDefault="00B4147A" w:rsidP="00B4147A">
      <w:pPr>
        <w:ind w:left="720"/>
      </w:pPr>
    </w:p>
    <w:p w14:paraId="503F1429" w14:textId="2DE3DDED" w:rsidR="00B4147A" w:rsidRDefault="00C74FE4" w:rsidP="00B4147A">
      <w:pPr>
        <w:ind w:left="720"/>
      </w:pPr>
      <w:r>
        <w:t>Boiler #3</w:t>
      </w:r>
      <w:r w:rsidR="00157CF9">
        <w:t>, used</w:t>
      </w:r>
      <w:r>
        <w:t xml:space="preserve"> for facility</w:t>
      </w:r>
      <w:r w:rsidR="00157CF9">
        <w:t xml:space="preserve"> space</w:t>
      </w:r>
      <w:r>
        <w:t xml:space="preserve"> heating and steam production</w:t>
      </w:r>
      <w:r w:rsidR="00157CF9">
        <w:t>,</w:t>
      </w:r>
      <w:r>
        <w:t xml:space="preserve"> was</w:t>
      </w:r>
      <w:r w:rsidR="00667FDB">
        <w:t xml:space="preserve"> installed in 1972 and </w:t>
      </w:r>
      <w:r>
        <w:t xml:space="preserve">licensed to combust distillate fuel </w:t>
      </w:r>
      <w:r w:rsidR="00DE7111">
        <w:t>and</w:t>
      </w:r>
      <w:r>
        <w:t xml:space="preserve"> natural gas.</w:t>
      </w:r>
      <w:r w:rsidR="00DE7111">
        <w:t xml:space="preserve"> BIW proposes to replace the existing burners with</w:t>
      </w:r>
      <w:r w:rsidR="00490D6E">
        <w:t xml:space="preserve"> a Limpsfield high efficiency</w:t>
      </w:r>
      <w:r w:rsidR="00DE7111">
        <w:t>,</w:t>
      </w:r>
      <w:r w:rsidR="00490D6E">
        <w:t xml:space="preserve"> natural gas</w:t>
      </w:r>
      <w:r w:rsidR="00DE7111">
        <w:t>-</w:t>
      </w:r>
      <w:r w:rsidR="00490D6E">
        <w:t xml:space="preserve">only burner and continue to use the existing </w:t>
      </w:r>
      <w:proofErr w:type="spellStart"/>
      <w:r w:rsidR="00490D6E">
        <w:t>Autoflame</w:t>
      </w:r>
      <w:proofErr w:type="spellEnd"/>
      <w:r w:rsidR="00490D6E">
        <w:t xml:space="preserve"> combustion controls</w:t>
      </w:r>
      <w:r w:rsidR="00DE7111">
        <w:t>. As a result of this project,</w:t>
      </w:r>
      <w:r>
        <w:t xml:space="preserve"> the unit will only fire natural gas </w:t>
      </w:r>
      <w:r w:rsidR="00DE7111">
        <w:t>with</w:t>
      </w:r>
      <w:r>
        <w:t xml:space="preserve"> a maximum heat input capacity of 21 MMBtu/hr.</w:t>
      </w:r>
      <w:r w:rsidR="00667FDB">
        <w:t xml:space="preserve"> Boiler #3 will continue to exhaust through Stack S1.</w:t>
      </w:r>
    </w:p>
    <w:p w14:paraId="15654398" w14:textId="77777777" w:rsidR="00340F4E" w:rsidRDefault="00340F4E" w:rsidP="00B4147A">
      <w:pPr>
        <w:ind w:left="720"/>
      </w:pPr>
    </w:p>
    <w:p w14:paraId="480560FD" w14:textId="102F797B" w:rsidR="00340F4E" w:rsidRDefault="00340F4E" w:rsidP="00B4147A">
      <w:pPr>
        <w:ind w:left="720"/>
      </w:pPr>
      <w:r>
        <w:t>BIW propose</w:t>
      </w:r>
      <w:r w:rsidR="00DE7111">
        <w:t>s to</w:t>
      </w:r>
      <w:r>
        <w:t xml:space="preserve"> replac</w:t>
      </w:r>
      <w:r w:rsidR="00DE7111">
        <w:t>e</w:t>
      </w:r>
      <w:r>
        <w:t xml:space="preserve"> Boiler #4</w:t>
      </w:r>
      <w:r w:rsidR="00DE7111">
        <w:t>, used for facility space heating,</w:t>
      </w:r>
      <w:r>
        <w:t xml:space="preserve"> with Steam Boiler #1. Steam Boiler #1 is</w:t>
      </w:r>
      <w:r w:rsidR="00490D6E">
        <w:t xml:space="preserve"> a McKenna WTS series</w:t>
      </w:r>
      <w:r w:rsidR="00FD6050">
        <w:t>,</w:t>
      </w:r>
      <w:r w:rsidR="00490D6E">
        <w:t xml:space="preserve"> </w:t>
      </w:r>
      <w:r w:rsidR="00DE7111">
        <w:t>65</w:t>
      </w:r>
      <w:r w:rsidR="00490D6E">
        <w:t xml:space="preserve"> boiler horsepower</w:t>
      </w:r>
      <w:r w:rsidR="00FD6050">
        <w:t>,</w:t>
      </w:r>
      <w:r w:rsidR="00490D6E">
        <w:t xml:space="preserve"> three-pass, low-pressure</w:t>
      </w:r>
      <w:r w:rsidR="00FD6050">
        <w:t>,</w:t>
      </w:r>
      <w:r w:rsidR="00490D6E">
        <w:t xml:space="preserve"> steam boiler fitted with a Limpsfield high efficiency</w:t>
      </w:r>
      <w:r w:rsidR="00DE7111">
        <w:t>,</w:t>
      </w:r>
      <w:r w:rsidR="00490D6E">
        <w:t xml:space="preserve"> natural gas</w:t>
      </w:r>
      <w:r w:rsidR="00DE7111">
        <w:t>-</w:t>
      </w:r>
      <w:r w:rsidR="00490D6E">
        <w:t xml:space="preserve">only burner with </w:t>
      </w:r>
      <w:proofErr w:type="spellStart"/>
      <w:r w:rsidR="00490D6E">
        <w:t>Autoflame</w:t>
      </w:r>
      <w:proofErr w:type="spellEnd"/>
      <w:r w:rsidR="00490D6E">
        <w:t xml:space="preserve"> combustion controls. Steam Boiler #1</w:t>
      </w:r>
      <w:r>
        <w:t xml:space="preserve"> </w:t>
      </w:r>
      <w:r w:rsidR="00DE7111">
        <w:t xml:space="preserve">is </w:t>
      </w:r>
      <w:r>
        <w:t>rated at 2.6 MMBtu/</w:t>
      </w:r>
      <w:proofErr w:type="spellStart"/>
      <w:r>
        <w:t>hr</w:t>
      </w:r>
      <w:proofErr w:type="spellEnd"/>
      <w:r>
        <w:t xml:space="preserve"> firing natural gas</w:t>
      </w:r>
      <w:r w:rsidR="00490D6E">
        <w:t xml:space="preserve"> and</w:t>
      </w:r>
      <w:r>
        <w:t xml:space="preserve"> will exhaust through the replaced Boiler #4’s exhaust</w:t>
      </w:r>
      <w:r w:rsidR="00490D6E">
        <w:t xml:space="preserve"> stack</w:t>
      </w:r>
      <w:r>
        <w:t>, Stack O1.</w:t>
      </w:r>
    </w:p>
    <w:p w14:paraId="1EF5517F" w14:textId="77777777" w:rsidR="00B4147A" w:rsidRDefault="00B4147A" w:rsidP="00B4147A">
      <w:pPr>
        <w:ind w:left="720"/>
      </w:pPr>
    </w:p>
    <w:p w14:paraId="606770AB" w14:textId="65E0FE42" w:rsidR="003F1C26" w:rsidRDefault="00123155" w:rsidP="00123155">
      <w:pPr>
        <w:pStyle w:val="Heading4"/>
      </w:pPr>
      <w:r>
        <w:t>BACT Findings</w:t>
      </w:r>
    </w:p>
    <w:p w14:paraId="7B5A2C6E" w14:textId="77777777" w:rsidR="00123155" w:rsidRPr="000A7E39" w:rsidRDefault="00123155" w:rsidP="00952485">
      <w:pPr>
        <w:ind w:left="720"/>
      </w:pPr>
    </w:p>
    <w:p w14:paraId="1A5465DD" w14:textId="46BB45B0" w:rsidR="00123155" w:rsidRDefault="00123155" w:rsidP="00952485">
      <w:pPr>
        <w:tabs>
          <w:tab w:val="left" w:pos="720"/>
        </w:tabs>
        <w:ind w:left="1080"/>
      </w:pPr>
      <w:r>
        <w:t xml:space="preserve">Following is a BACT analysis for control of emissions from </w:t>
      </w:r>
      <w:r w:rsidRPr="00EF457B">
        <w:rPr>
          <w:bCs/>
          <w:iCs/>
        </w:rPr>
        <w:t>Boiler</w:t>
      </w:r>
      <w:r w:rsidR="00340F4E">
        <w:rPr>
          <w:bCs/>
          <w:iCs/>
        </w:rPr>
        <w:t> </w:t>
      </w:r>
      <w:r w:rsidRPr="00EF457B">
        <w:rPr>
          <w:bCs/>
          <w:iCs/>
        </w:rPr>
        <w:t>#</w:t>
      </w:r>
      <w:r w:rsidR="00EF457B" w:rsidRPr="00EF457B">
        <w:rPr>
          <w:bCs/>
          <w:iCs/>
        </w:rPr>
        <w:t>3</w:t>
      </w:r>
      <w:r w:rsidR="00340F4E">
        <w:rPr>
          <w:bCs/>
          <w:iCs/>
        </w:rPr>
        <w:t xml:space="preserve"> and Steam Boiler #1</w:t>
      </w:r>
      <w:r>
        <w:t>.</w:t>
      </w:r>
    </w:p>
    <w:p w14:paraId="32D49DBC" w14:textId="77777777" w:rsidR="00123155" w:rsidRDefault="00123155" w:rsidP="00952485">
      <w:pPr>
        <w:tabs>
          <w:tab w:val="left" w:pos="720"/>
        </w:tabs>
        <w:ind w:left="1080"/>
      </w:pPr>
    </w:p>
    <w:p w14:paraId="6885EA67" w14:textId="77777777" w:rsidR="00123155" w:rsidRPr="0074481B" w:rsidRDefault="00123155" w:rsidP="00952485">
      <w:pPr>
        <w:pStyle w:val="Heading5"/>
      </w:pPr>
      <w:r w:rsidRPr="00952485">
        <w:t>Particulate</w:t>
      </w:r>
      <w:r w:rsidRPr="0074481B">
        <w:t xml:space="preserve"> Matter</w:t>
      </w:r>
      <w:r>
        <w:t xml:space="preserve"> (PM, PM</w:t>
      </w:r>
      <w:r>
        <w:rPr>
          <w:vertAlign w:val="subscript"/>
        </w:rPr>
        <w:t>10</w:t>
      </w:r>
      <w:r>
        <w:t>, PM</w:t>
      </w:r>
      <w:r>
        <w:rPr>
          <w:vertAlign w:val="subscript"/>
        </w:rPr>
        <w:t>2.5</w:t>
      </w:r>
      <w:r>
        <w:t>)</w:t>
      </w:r>
    </w:p>
    <w:p w14:paraId="747E61BC" w14:textId="32350A9C" w:rsidR="00123155" w:rsidRDefault="00EF457B" w:rsidP="00952485">
      <w:pPr>
        <w:tabs>
          <w:tab w:val="left" w:pos="720"/>
        </w:tabs>
        <w:ind w:left="1440"/>
      </w:pPr>
      <w:r>
        <w:t>BIW</w:t>
      </w:r>
      <w:r w:rsidR="00123155">
        <w:t xml:space="preserve"> has proposed </w:t>
      </w:r>
      <w:proofErr w:type="gramStart"/>
      <w:r w:rsidR="00123155">
        <w:t>to burn</w:t>
      </w:r>
      <w:proofErr w:type="gramEnd"/>
      <w:r w:rsidR="00123155">
        <w:t xml:space="preserve"> only</w:t>
      </w:r>
      <w:r>
        <w:t xml:space="preserve"> natural gas, a </w:t>
      </w:r>
      <w:r w:rsidR="00123155">
        <w:t>low-ash content fuel</w:t>
      </w:r>
      <w:r>
        <w:t>,</w:t>
      </w:r>
      <w:r w:rsidR="00123155">
        <w:t xml:space="preserve"> in </w:t>
      </w:r>
      <w:r w:rsidR="00DE7111">
        <w:t>Boiler #3 and Steam Boiler #1</w:t>
      </w:r>
      <w:r w:rsidR="00123155">
        <w:t xml:space="preserve"> and to optimize combustion conditions using oxygen trim systems. </w:t>
      </w:r>
      <w:r w:rsidR="00123155" w:rsidRPr="00D84AB0">
        <w:t>An oxygen (O</w:t>
      </w:r>
      <w:r w:rsidR="00123155" w:rsidRPr="00D84AB0">
        <w:rPr>
          <w:vertAlign w:val="subscript"/>
        </w:rPr>
        <w:t>2</w:t>
      </w:r>
      <w:r w:rsidR="00123155" w:rsidRPr="00D84AB0">
        <w:t>) trim system monitors the O</w:t>
      </w:r>
      <w:r w:rsidR="00123155" w:rsidRPr="00D84AB0">
        <w:rPr>
          <w:vertAlign w:val="subscript"/>
        </w:rPr>
        <w:t>2</w:t>
      </w:r>
      <w:r w:rsidR="00123155" w:rsidRPr="00D84AB0">
        <w:t xml:space="preserve"> content in the exhaust gas and automatically adjusts the fuel valve or air damper to optimize the air-to-fuel ratio. </w:t>
      </w:r>
      <w:r w:rsidR="00123155">
        <w:t xml:space="preserve">Additional add-on pollution controls are not economically feasible. </w:t>
      </w:r>
    </w:p>
    <w:p w14:paraId="2F784DDA" w14:textId="77777777" w:rsidR="00123155" w:rsidRDefault="00123155" w:rsidP="00952485">
      <w:pPr>
        <w:tabs>
          <w:tab w:val="left" w:pos="720"/>
        </w:tabs>
        <w:ind w:left="1440"/>
      </w:pPr>
    </w:p>
    <w:p w14:paraId="354F750B" w14:textId="54BE1821" w:rsidR="00123155" w:rsidRDefault="00123155" w:rsidP="00952485">
      <w:pPr>
        <w:tabs>
          <w:tab w:val="left" w:pos="720"/>
        </w:tabs>
        <w:ind w:left="1440"/>
      </w:pPr>
      <w:r>
        <w:t>BACT for PM/PM</w:t>
      </w:r>
      <w:r>
        <w:rPr>
          <w:vertAlign w:val="subscript"/>
        </w:rPr>
        <w:t>10</w:t>
      </w:r>
      <w:r>
        <w:t>/PM</w:t>
      </w:r>
      <w:r>
        <w:rPr>
          <w:vertAlign w:val="subscript"/>
        </w:rPr>
        <w:t>2.5</w:t>
      </w:r>
      <w:r>
        <w:t xml:space="preserve"> emissions from </w:t>
      </w:r>
      <w:r w:rsidRPr="00EF457B">
        <w:rPr>
          <w:bCs/>
          <w:iCs/>
        </w:rPr>
        <w:t>Boiler #</w:t>
      </w:r>
      <w:r w:rsidR="00EF457B" w:rsidRPr="00EF457B">
        <w:rPr>
          <w:bCs/>
          <w:iCs/>
        </w:rPr>
        <w:t>3</w:t>
      </w:r>
      <w:r w:rsidR="00340F4E">
        <w:rPr>
          <w:bCs/>
          <w:iCs/>
        </w:rPr>
        <w:t xml:space="preserve"> and Steam Boiler #1</w:t>
      </w:r>
      <w:r>
        <w:rPr>
          <w:b/>
          <w:i/>
        </w:rPr>
        <w:t xml:space="preserve"> </w:t>
      </w:r>
      <w:r>
        <w:t>is the use of an oxygen trim system and the emission limits listed in the tables below.</w:t>
      </w:r>
    </w:p>
    <w:p w14:paraId="061C6886" w14:textId="77777777" w:rsidR="00DE7111" w:rsidRDefault="00DE7111">
      <w:pPr>
        <w:jc w:val="left"/>
        <w:rPr>
          <w:u w:val="single"/>
        </w:rPr>
      </w:pPr>
      <w:r>
        <w:br w:type="page"/>
      </w:r>
    </w:p>
    <w:p w14:paraId="6600840F" w14:textId="17572B14" w:rsidR="00123155" w:rsidRPr="0074481B" w:rsidRDefault="00123155" w:rsidP="00952485">
      <w:pPr>
        <w:pStyle w:val="Heading5"/>
      </w:pPr>
      <w:r w:rsidRPr="0074481B">
        <w:lastRenderedPageBreak/>
        <w:t>Sulfur Dioxide</w:t>
      </w:r>
      <w:r>
        <w:t xml:space="preserve"> (SO</w:t>
      </w:r>
      <w:r>
        <w:rPr>
          <w:vertAlign w:val="subscript"/>
        </w:rPr>
        <w:t>2</w:t>
      </w:r>
      <w:r>
        <w:t>)</w:t>
      </w:r>
    </w:p>
    <w:p w14:paraId="3CD72172" w14:textId="5B2ABC95" w:rsidR="00123155" w:rsidRDefault="00EF457B" w:rsidP="00952485">
      <w:pPr>
        <w:tabs>
          <w:tab w:val="left" w:pos="720"/>
        </w:tabs>
        <w:ind w:left="1440"/>
      </w:pPr>
      <w:r>
        <w:t>BIW</w:t>
      </w:r>
      <w:r w:rsidR="00123155">
        <w:t xml:space="preserve"> has proposed to fire only </w:t>
      </w:r>
      <w:r>
        <w:t>natural gas</w:t>
      </w:r>
      <w:r w:rsidR="00123155">
        <w:t xml:space="preserve"> with a</w:t>
      </w:r>
      <w:r>
        <w:t>n inherently low</w:t>
      </w:r>
      <w:r w:rsidR="00123155">
        <w:t xml:space="preserve"> sulfur content. The use of th</w:t>
      </w:r>
      <w:r>
        <w:t>is</w:t>
      </w:r>
      <w:r w:rsidR="00123155">
        <w:t xml:space="preserve"> fuel results in minimal emissions of SO</w:t>
      </w:r>
      <w:r w:rsidR="00123155">
        <w:rPr>
          <w:vertAlign w:val="subscript"/>
        </w:rPr>
        <w:t>2</w:t>
      </w:r>
      <w:r w:rsidR="00123155">
        <w:t xml:space="preserve">, and additional add-on pollution controls are not economically feasible. </w:t>
      </w:r>
    </w:p>
    <w:p w14:paraId="242ADEC5" w14:textId="77777777" w:rsidR="00123155" w:rsidRDefault="00123155" w:rsidP="00952485">
      <w:pPr>
        <w:tabs>
          <w:tab w:val="left" w:pos="720"/>
        </w:tabs>
        <w:ind w:left="1440"/>
      </w:pPr>
    </w:p>
    <w:p w14:paraId="1BB0E291" w14:textId="7D711252" w:rsidR="00123155" w:rsidRDefault="00123155" w:rsidP="00952485">
      <w:pPr>
        <w:tabs>
          <w:tab w:val="left" w:pos="720"/>
        </w:tabs>
        <w:ind w:left="1440"/>
      </w:pPr>
      <w:r>
        <w:t>BACT for SO</w:t>
      </w:r>
      <w:r>
        <w:rPr>
          <w:vertAlign w:val="subscript"/>
        </w:rPr>
        <w:t>2</w:t>
      </w:r>
      <w:r>
        <w:t xml:space="preserve"> emissions from </w:t>
      </w:r>
      <w:r w:rsidR="00EF457B">
        <w:t>Boiler #3</w:t>
      </w:r>
      <w:r w:rsidR="00340F4E">
        <w:t xml:space="preserve"> and Steam Boiler #1</w:t>
      </w:r>
      <w:r>
        <w:rPr>
          <w:b/>
          <w:i/>
        </w:rPr>
        <w:t xml:space="preserve"> </w:t>
      </w:r>
      <w:r>
        <w:t>is the use of</w:t>
      </w:r>
      <w:r w:rsidR="00EF457B">
        <w:t xml:space="preserve"> natural gas</w:t>
      </w:r>
      <w:r>
        <w:t xml:space="preserve"> and the emission limits listed in the tables below.</w:t>
      </w:r>
    </w:p>
    <w:p w14:paraId="3A7FE1F7" w14:textId="75D8CBF9" w:rsidR="00EF457B" w:rsidRDefault="00EF457B">
      <w:pPr>
        <w:jc w:val="left"/>
        <w:rPr>
          <w:u w:val="single"/>
        </w:rPr>
      </w:pPr>
    </w:p>
    <w:p w14:paraId="07813C60" w14:textId="1C3864CE" w:rsidR="00123155" w:rsidRPr="0074481B" w:rsidRDefault="00123155" w:rsidP="00952485">
      <w:pPr>
        <w:pStyle w:val="Heading5"/>
      </w:pPr>
      <w:r w:rsidRPr="0074481B">
        <w:t>Nitrogen Oxides</w:t>
      </w:r>
      <w:r>
        <w:t xml:space="preserve"> (NO</w:t>
      </w:r>
      <w:r>
        <w:rPr>
          <w:vertAlign w:val="subscript"/>
        </w:rPr>
        <w:t>x</w:t>
      </w:r>
      <w:r>
        <w:t>)</w:t>
      </w:r>
    </w:p>
    <w:p w14:paraId="03F5E859" w14:textId="78773135" w:rsidR="00123155" w:rsidRDefault="00062F72" w:rsidP="00952485">
      <w:pPr>
        <w:tabs>
          <w:tab w:val="left" w:pos="720"/>
        </w:tabs>
        <w:ind w:left="1440"/>
      </w:pPr>
      <w:r>
        <w:t>BIW</w:t>
      </w:r>
      <w:r w:rsidR="00123155">
        <w:t xml:space="preserve"> considered several control strategies for the control of NO</w:t>
      </w:r>
      <w:r w:rsidR="00123155">
        <w:rPr>
          <w:vertAlign w:val="subscript"/>
        </w:rPr>
        <w:t>x</w:t>
      </w:r>
      <w:r w:rsidR="00123155">
        <w:t xml:space="preserve"> including Selective Catalytic Reduction (SCR), Selective Non-Catalytic Reduction (SNCR), water/steam injection, flue gas recirculation (FGR), and use of oxygen trim systems.</w:t>
      </w:r>
    </w:p>
    <w:p w14:paraId="0BDF5E06" w14:textId="77777777" w:rsidR="00123155" w:rsidRDefault="00123155" w:rsidP="00952485">
      <w:pPr>
        <w:tabs>
          <w:tab w:val="left" w:pos="720"/>
        </w:tabs>
        <w:ind w:left="1440"/>
      </w:pPr>
    </w:p>
    <w:p w14:paraId="1326CECB" w14:textId="0FCCFABC" w:rsidR="00123155" w:rsidRDefault="00123155" w:rsidP="00952485">
      <w:pPr>
        <w:tabs>
          <w:tab w:val="left" w:pos="720"/>
        </w:tabs>
        <w:ind w:left="1440"/>
      </w:pPr>
      <w:r>
        <w:t>Both SCR and SNCR are technically feasible control technologies for minimizing NO</w:t>
      </w:r>
      <w:r>
        <w:rPr>
          <w:vertAlign w:val="subscript"/>
        </w:rPr>
        <w:t>x</w:t>
      </w:r>
      <w:r>
        <w:t xml:space="preserve">. Both methods include injection of </w:t>
      </w:r>
      <w:proofErr w:type="gramStart"/>
      <w:r>
        <w:t>a NO</w:t>
      </w:r>
      <w:r w:rsidRPr="00876EBD">
        <w:rPr>
          <w:vertAlign w:val="subscript"/>
        </w:rPr>
        <w:t>x</w:t>
      </w:r>
      <w:proofErr w:type="gramEnd"/>
      <w:r>
        <w:t xml:space="preserve"> reducing agent, typically ammonia or urea, into the boiler combustion gases, where the reagent reacts with NO</w:t>
      </w:r>
      <w:r w:rsidRPr="00876EBD">
        <w:rPr>
          <w:vertAlign w:val="subscript"/>
        </w:rPr>
        <w:t>x</w:t>
      </w:r>
      <w:r>
        <w:t xml:space="preserve"> to form nitrogen and water. Each technology is effective within a specific temperature range, </w:t>
      </w:r>
      <w:r w:rsidRPr="000C2FE0">
        <w:t xml:space="preserve">500 </w:t>
      </w:r>
      <w:r>
        <w:t>–</w:t>
      </w:r>
      <w:r w:rsidRPr="000C2FE0">
        <w:t xml:space="preserve"> 1</w:t>
      </w:r>
      <w:r>
        <w:t>,</w:t>
      </w:r>
      <w:r w:rsidRPr="000C2FE0">
        <w:t>200</w:t>
      </w:r>
      <w:r>
        <w:t> </w:t>
      </w:r>
      <w:r w:rsidRPr="000C2FE0">
        <w:t>°F</w:t>
      </w:r>
      <w:r>
        <w:t xml:space="preserve"> for SCR and</w:t>
      </w:r>
      <w:r w:rsidRPr="00685F52">
        <w:t xml:space="preserve"> 1</w:t>
      </w:r>
      <w:r>
        <w:t>,</w:t>
      </w:r>
      <w:r w:rsidRPr="00685F52">
        <w:t>400</w:t>
      </w:r>
      <w:r>
        <w:t xml:space="preserve"> – </w:t>
      </w:r>
      <w:r w:rsidRPr="00685F52">
        <w:t>1</w:t>
      </w:r>
      <w:r>
        <w:t>,</w:t>
      </w:r>
      <w:r w:rsidRPr="00685F52">
        <w:t>600</w:t>
      </w:r>
      <w:r>
        <w:t> </w:t>
      </w:r>
      <w:r w:rsidRPr="00685F52">
        <w:t>°F</w:t>
      </w:r>
      <w:r>
        <w:t xml:space="preserve"> for SNCR.</w:t>
      </w:r>
      <w:r w:rsidRPr="000C2FE0">
        <w:t xml:space="preserve"> </w:t>
      </w:r>
      <w:r>
        <w:t xml:space="preserve">However, both SCR and SNCR have </w:t>
      </w:r>
      <w:proofErr w:type="gramStart"/>
      <w:r>
        <w:t>the</w:t>
      </w:r>
      <w:proofErr w:type="gramEnd"/>
      <w:r>
        <w:t xml:space="preserve"> negative environmental impact of emissions of unreacted ammonia. In addition, due to the initial capital cost and the annual operating costs, these systems are typically only considered cost effective for units larger than </w:t>
      </w:r>
      <w:r w:rsidRPr="00062F72">
        <w:rPr>
          <w:bCs/>
          <w:iCs/>
        </w:rPr>
        <w:t>Boiler #</w:t>
      </w:r>
      <w:r w:rsidR="00062F72" w:rsidRPr="00062F72">
        <w:rPr>
          <w:bCs/>
          <w:iCs/>
        </w:rPr>
        <w:t>3</w:t>
      </w:r>
      <w:r w:rsidR="0084182A">
        <w:rPr>
          <w:bCs/>
          <w:iCs/>
        </w:rPr>
        <w:t xml:space="preserve"> and Steam Boiler #1</w:t>
      </w:r>
      <w:r>
        <w:t xml:space="preserve">. </w:t>
      </w:r>
    </w:p>
    <w:p w14:paraId="52D80794" w14:textId="77777777" w:rsidR="00123155" w:rsidRDefault="00123155" w:rsidP="00952485">
      <w:pPr>
        <w:tabs>
          <w:tab w:val="left" w:pos="720"/>
        </w:tabs>
        <w:ind w:left="1440"/>
      </w:pPr>
    </w:p>
    <w:p w14:paraId="44A79DB2" w14:textId="60513C40" w:rsidR="00123155" w:rsidRDefault="00123155" w:rsidP="00952485">
      <w:pPr>
        <w:tabs>
          <w:tab w:val="left" w:pos="720"/>
        </w:tabs>
        <w:ind w:left="1440"/>
      </w:pPr>
      <w:r>
        <w:t>Water/steam injection and FGR can attain similar NO</w:t>
      </w:r>
      <w:r>
        <w:rPr>
          <w:vertAlign w:val="subscript"/>
        </w:rPr>
        <w:t>x</w:t>
      </w:r>
      <w:r>
        <w:t xml:space="preserve"> reduction efficiencies through lowering burner flame temperature and thereby reducing thermal NO</w:t>
      </w:r>
      <w:r w:rsidRPr="00CB6CA1">
        <w:rPr>
          <w:vertAlign w:val="subscript"/>
        </w:rPr>
        <w:t>x</w:t>
      </w:r>
      <w:r>
        <w:t xml:space="preserve"> formation. However, both control strategies reduce the boiler’s fuel efficiency.  </w:t>
      </w:r>
    </w:p>
    <w:p w14:paraId="6D5982D6" w14:textId="77777777" w:rsidR="00123155" w:rsidRDefault="00123155" w:rsidP="00952485">
      <w:pPr>
        <w:tabs>
          <w:tab w:val="left" w:pos="720"/>
        </w:tabs>
        <w:ind w:left="1440"/>
      </w:pPr>
    </w:p>
    <w:p w14:paraId="1DFD4F65" w14:textId="62032376" w:rsidR="00123155" w:rsidRDefault="00123155" w:rsidP="00952485">
      <w:pPr>
        <w:tabs>
          <w:tab w:val="left" w:pos="720"/>
        </w:tabs>
        <w:ind w:left="1440"/>
      </w:pPr>
      <w:r>
        <w:t>The use of</w:t>
      </w:r>
      <w:r w:rsidR="00DA393F">
        <w:t xml:space="preserve"> an oxygen trim system</w:t>
      </w:r>
      <w:r>
        <w:t xml:space="preserve"> </w:t>
      </w:r>
      <w:r w:rsidR="00FD6050">
        <w:t>for</w:t>
      </w:r>
      <w:r w:rsidR="0084182A">
        <w:t xml:space="preserve"> each</w:t>
      </w:r>
      <w:r>
        <w:t xml:space="preserve"> </w:t>
      </w:r>
      <w:r w:rsidRPr="00DA393F">
        <w:rPr>
          <w:bCs/>
          <w:iCs/>
        </w:rPr>
        <w:t>Boiler #</w:t>
      </w:r>
      <w:r w:rsidR="00DA393F" w:rsidRPr="00DA393F">
        <w:rPr>
          <w:bCs/>
          <w:iCs/>
        </w:rPr>
        <w:t>3</w:t>
      </w:r>
      <w:r w:rsidR="0084182A">
        <w:rPr>
          <w:bCs/>
          <w:iCs/>
        </w:rPr>
        <w:t xml:space="preserve"> and Steam Boiler #1</w:t>
      </w:r>
      <w:r>
        <w:t xml:space="preserve"> has been determined to be feasible and has been selected as part of the BACT strategy. </w:t>
      </w:r>
    </w:p>
    <w:p w14:paraId="19DB8EB7" w14:textId="77777777" w:rsidR="00123155" w:rsidRDefault="00123155" w:rsidP="00952485">
      <w:pPr>
        <w:tabs>
          <w:tab w:val="left" w:pos="720"/>
        </w:tabs>
        <w:ind w:left="1440"/>
      </w:pPr>
    </w:p>
    <w:p w14:paraId="16FEBEBA" w14:textId="2A62042A" w:rsidR="00123155" w:rsidRDefault="00123155" w:rsidP="00952485">
      <w:pPr>
        <w:tabs>
          <w:tab w:val="left" w:pos="720"/>
        </w:tabs>
        <w:ind w:left="1440"/>
      </w:pPr>
      <w:r>
        <w:t>BACT for NO</w:t>
      </w:r>
      <w:r>
        <w:rPr>
          <w:vertAlign w:val="subscript"/>
        </w:rPr>
        <w:t>x</w:t>
      </w:r>
      <w:r>
        <w:t xml:space="preserve"> emissions from </w:t>
      </w:r>
      <w:r w:rsidRPr="00DA393F">
        <w:rPr>
          <w:bCs/>
          <w:iCs/>
        </w:rPr>
        <w:t>Boiler #</w:t>
      </w:r>
      <w:r w:rsidR="00DA393F" w:rsidRPr="00DA393F">
        <w:rPr>
          <w:bCs/>
          <w:iCs/>
        </w:rPr>
        <w:t>3</w:t>
      </w:r>
      <w:r w:rsidR="0084182A">
        <w:rPr>
          <w:bCs/>
          <w:iCs/>
        </w:rPr>
        <w:t xml:space="preserve"> and Steam Boiler #1</w:t>
      </w:r>
      <w:r>
        <w:t xml:space="preserve"> is the use of oxygen trim system</w:t>
      </w:r>
      <w:r w:rsidR="00FD6050">
        <w:t>s</w:t>
      </w:r>
      <w:r>
        <w:t xml:space="preserve"> and the emission limits listed in the tables below.</w:t>
      </w:r>
    </w:p>
    <w:p w14:paraId="45E79A8B" w14:textId="77777777" w:rsidR="00123155" w:rsidRDefault="00123155" w:rsidP="00952485">
      <w:pPr>
        <w:tabs>
          <w:tab w:val="left" w:pos="720"/>
        </w:tabs>
        <w:ind w:left="1080"/>
      </w:pPr>
    </w:p>
    <w:p w14:paraId="6120B071" w14:textId="77777777" w:rsidR="00123155" w:rsidRPr="0074481B" w:rsidRDefault="00123155" w:rsidP="00952485">
      <w:pPr>
        <w:pStyle w:val="Heading5"/>
      </w:pPr>
      <w:r w:rsidRPr="0074481B">
        <w:t>Carbon Monoxide</w:t>
      </w:r>
      <w:r>
        <w:t xml:space="preserve"> (CO)</w:t>
      </w:r>
      <w:r w:rsidRPr="0074481B">
        <w:t xml:space="preserve"> and Volatile Organic Compounds</w:t>
      </w:r>
      <w:r>
        <w:t xml:space="preserve"> (VOC)</w:t>
      </w:r>
    </w:p>
    <w:p w14:paraId="3E1DD91C" w14:textId="4F0C7822" w:rsidR="00123155" w:rsidRDefault="00DA393F" w:rsidP="00952485">
      <w:pPr>
        <w:tabs>
          <w:tab w:val="left" w:pos="720"/>
        </w:tabs>
        <w:ind w:left="1440"/>
      </w:pPr>
      <w:r>
        <w:t>BIW</w:t>
      </w:r>
      <w:r w:rsidR="00123155" w:rsidRPr="003B3613">
        <w:t xml:space="preserve"> </w:t>
      </w:r>
      <w:r w:rsidR="00123155">
        <w:t>considered several control strategies for the control of CO and VOC including oxidation catalysts, thermal oxidizers, and use of an oxygen trim system.</w:t>
      </w:r>
    </w:p>
    <w:p w14:paraId="1A1EDCE4" w14:textId="77777777" w:rsidR="00123155" w:rsidRDefault="00123155" w:rsidP="00952485">
      <w:pPr>
        <w:tabs>
          <w:tab w:val="left" w:pos="720"/>
        </w:tabs>
        <w:ind w:left="1440"/>
      </w:pPr>
    </w:p>
    <w:p w14:paraId="2D0CE8E0" w14:textId="77777777" w:rsidR="00123155" w:rsidRDefault="00123155" w:rsidP="00952485">
      <w:pPr>
        <w:tabs>
          <w:tab w:val="left" w:pos="720"/>
        </w:tabs>
        <w:ind w:left="1440"/>
      </w:pPr>
      <w:r>
        <w:t xml:space="preserve">Oxidation catalysts and thermal oxidizers both have high capital, maintenance, and operational costs considering the size of the boiler in question. These controls were determined to be economically infeasible. </w:t>
      </w:r>
    </w:p>
    <w:p w14:paraId="634EAF3E" w14:textId="77777777" w:rsidR="00123155" w:rsidRDefault="00123155" w:rsidP="00952485">
      <w:pPr>
        <w:tabs>
          <w:tab w:val="left" w:pos="720"/>
        </w:tabs>
        <w:ind w:left="1440"/>
      </w:pPr>
    </w:p>
    <w:p w14:paraId="5CA5BD81" w14:textId="27C09F00" w:rsidR="00123155" w:rsidRDefault="00123155" w:rsidP="00952485">
      <w:pPr>
        <w:tabs>
          <w:tab w:val="left" w:pos="720"/>
        </w:tabs>
        <w:ind w:left="1440"/>
      </w:pPr>
      <w:r>
        <w:t>The use of an oxygen trim system has been determined to be feasible and has been selected as part of the BACT strategy for</w:t>
      </w:r>
      <w:r w:rsidR="0084182A">
        <w:t xml:space="preserve"> both</w:t>
      </w:r>
      <w:r>
        <w:t xml:space="preserve"> </w:t>
      </w:r>
      <w:r w:rsidRPr="003B3613">
        <w:t>Boiler #</w:t>
      </w:r>
      <w:r w:rsidR="00DA393F">
        <w:t>3</w:t>
      </w:r>
      <w:r w:rsidR="0084182A">
        <w:t xml:space="preserve"> and Steam Boiler #1</w:t>
      </w:r>
      <w:r>
        <w:t xml:space="preserve">. </w:t>
      </w:r>
    </w:p>
    <w:p w14:paraId="5D63F1DA" w14:textId="77777777" w:rsidR="00123155" w:rsidRDefault="00123155" w:rsidP="00952485">
      <w:pPr>
        <w:tabs>
          <w:tab w:val="left" w:pos="720"/>
        </w:tabs>
        <w:ind w:left="1440"/>
      </w:pPr>
    </w:p>
    <w:p w14:paraId="5E4218ED" w14:textId="3A3F037C" w:rsidR="00123155" w:rsidRDefault="00123155" w:rsidP="00952485">
      <w:pPr>
        <w:tabs>
          <w:tab w:val="left" w:pos="720"/>
        </w:tabs>
        <w:ind w:left="1440"/>
      </w:pPr>
      <w:r>
        <w:t xml:space="preserve">BACT for CO and VOC emissions from </w:t>
      </w:r>
      <w:r w:rsidR="00DA393F">
        <w:t>Boiler #3</w:t>
      </w:r>
      <w:r w:rsidR="0084182A">
        <w:t xml:space="preserve"> and Steam Boiler #1</w:t>
      </w:r>
      <w:r>
        <w:rPr>
          <w:b/>
          <w:i/>
        </w:rPr>
        <w:t xml:space="preserve"> </w:t>
      </w:r>
      <w:r>
        <w:t>is the use of oxygen trim system</w:t>
      </w:r>
      <w:r w:rsidR="00FD6050">
        <w:t>s</w:t>
      </w:r>
      <w:r>
        <w:t xml:space="preserve"> and the emission limits listed in the tables below.</w:t>
      </w:r>
    </w:p>
    <w:p w14:paraId="28FDE4D0" w14:textId="189C6113" w:rsidR="00DA393F" w:rsidRDefault="00DA393F">
      <w:pPr>
        <w:jc w:val="left"/>
        <w:rPr>
          <w:u w:val="single"/>
        </w:rPr>
      </w:pPr>
    </w:p>
    <w:p w14:paraId="620A68E1" w14:textId="64E10EB3" w:rsidR="00123155" w:rsidRPr="0074481B" w:rsidRDefault="00123155" w:rsidP="00952485">
      <w:pPr>
        <w:pStyle w:val="Heading5"/>
      </w:pPr>
      <w:r w:rsidRPr="0074481B">
        <w:t>Emission Limits</w:t>
      </w:r>
    </w:p>
    <w:p w14:paraId="4466706E" w14:textId="529BA55F" w:rsidR="00425361" w:rsidRDefault="00123155" w:rsidP="00425361">
      <w:pPr>
        <w:tabs>
          <w:tab w:val="left" w:pos="720"/>
        </w:tabs>
        <w:ind w:left="1440"/>
      </w:pPr>
      <w:r w:rsidRPr="000F4332">
        <w:t xml:space="preserve">The </w:t>
      </w:r>
      <w:r>
        <w:t xml:space="preserve">BACT </w:t>
      </w:r>
      <w:r w:rsidRPr="000F4332">
        <w:t xml:space="preserve">emission limits for </w:t>
      </w:r>
      <w:r w:rsidRPr="00B76DF9">
        <w:rPr>
          <w:bCs/>
          <w:iCs/>
        </w:rPr>
        <w:t>Boiler #</w:t>
      </w:r>
      <w:r w:rsidR="00B76DF9" w:rsidRPr="00B76DF9">
        <w:rPr>
          <w:bCs/>
          <w:iCs/>
        </w:rPr>
        <w:t>3</w:t>
      </w:r>
      <w:r w:rsidR="0084182A">
        <w:rPr>
          <w:bCs/>
          <w:iCs/>
        </w:rPr>
        <w:t xml:space="preserve"> and Steam Boiler #1</w:t>
      </w:r>
      <w:r>
        <w:rPr>
          <w:b/>
          <w:i/>
        </w:rPr>
        <w:t xml:space="preserve"> </w:t>
      </w:r>
      <w:r w:rsidRPr="000F4332">
        <w:t>w</w:t>
      </w:r>
      <w:r>
        <w:t>ere</w:t>
      </w:r>
      <w:r w:rsidRPr="000F4332">
        <w:t xml:space="preserve"> based on the following:</w:t>
      </w:r>
    </w:p>
    <w:p w14:paraId="28F40CFF" w14:textId="77777777" w:rsidR="00425361" w:rsidRDefault="00425361" w:rsidP="00425361">
      <w:pPr>
        <w:tabs>
          <w:tab w:val="left" w:pos="720"/>
        </w:tabs>
        <w:ind w:left="1440"/>
      </w:pPr>
    </w:p>
    <w:p w14:paraId="703F590E" w14:textId="77777777" w:rsidR="00425361" w:rsidRPr="00425361" w:rsidRDefault="00425361" w:rsidP="00425361">
      <w:pPr>
        <w:tabs>
          <w:tab w:val="left" w:pos="720"/>
          <w:tab w:val="left" w:pos="1080"/>
        </w:tabs>
        <w:ind w:left="2160" w:hanging="720"/>
        <w:rPr>
          <w:u w:val="single"/>
        </w:rPr>
      </w:pPr>
      <w:r>
        <w:rPr>
          <w:u w:val="single"/>
        </w:rPr>
        <w:t>Natural Gas</w:t>
      </w:r>
    </w:p>
    <w:p w14:paraId="77DEDF88" w14:textId="4E476AD5" w:rsidR="00425361" w:rsidRPr="00952485" w:rsidRDefault="00425361" w:rsidP="00425361">
      <w:pPr>
        <w:tabs>
          <w:tab w:val="left" w:pos="3240"/>
          <w:tab w:val="left" w:pos="3600"/>
        </w:tabs>
        <w:ind w:left="3600" w:hanging="2160"/>
      </w:pPr>
      <w:r w:rsidRPr="00952485">
        <w:t>PM</w:t>
      </w:r>
      <w:r w:rsidR="00B976B0">
        <w:t>/PM</w:t>
      </w:r>
      <w:r w:rsidR="00B976B0">
        <w:rPr>
          <w:vertAlign w:val="subscript"/>
        </w:rPr>
        <w:t>10</w:t>
      </w:r>
      <w:r w:rsidR="00B976B0">
        <w:t>/PM</w:t>
      </w:r>
      <w:r w:rsidR="00B976B0">
        <w:rPr>
          <w:vertAlign w:val="subscript"/>
        </w:rPr>
        <w:t>2.5</w:t>
      </w:r>
      <w:r w:rsidRPr="00952485">
        <w:tab/>
        <w:t>–</w:t>
      </w:r>
      <w:r w:rsidRPr="00952485">
        <w:tab/>
      </w:r>
      <w:r w:rsidRPr="00144CFF">
        <w:t xml:space="preserve">0.05 </w:t>
      </w:r>
      <w:proofErr w:type="spellStart"/>
      <w:r w:rsidRPr="00144CFF">
        <w:t>lb</w:t>
      </w:r>
      <w:proofErr w:type="spellEnd"/>
      <w:r w:rsidRPr="00144CFF">
        <w:t>/MMBtu</w:t>
      </w:r>
      <w:r w:rsidR="00B76DF9">
        <w:t>,</w:t>
      </w:r>
      <w:r w:rsidRPr="00144CFF">
        <w:t xml:space="preserve"> 06-096 C.M.R. </w:t>
      </w:r>
      <w:proofErr w:type="spellStart"/>
      <w:r w:rsidRPr="00144CFF">
        <w:t>ch.</w:t>
      </w:r>
      <w:proofErr w:type="spellEnd"/>
      <w:r w:rsidRPr="00144CFF">
        <w:t xml:space="preserve"> 115, BACT</w:t>
      </w:r>
      <w:r w:rsidRPr="00952485">
        <w:t xml:space="preserve"> </w:t>
      </w:r>
    </w:p>
    <w:p w14:paraId="70BB4F7D" w14:textId="77777777" w:rsidR="00425361" w:rsidRDefault="00425361" w:rsidP="00425361">
      <w:pPr>
        <w:tabs>
          <w:tab w:val="left" w:pos="3240"/>
          <w:tab w:val="left" w:pos="3600"/>
        </w:tabs>
        <w:ind w:left="3600" w:hanging="2160"/>
      </w:pPr>
      <w:r w:rsidRPr="00952485">
        <w:t>SO</w:t>
      </w:r>
      <w:r w:rsidRPr="00952485">
        <w:rPr>
          <w:vertAlign w:val="subscript"/>
        </w:rPr>
        <w:t>2</w:t>
      </w:r>
      <w:r w:rsidRPr="00952485">
        <w:tab/>
        <w:t>–</w:t>
      </w:r>
      <w:r w:rsidRPr="00952485">
        <w:tab/>
      </w:r>
      <w:r>
        <w:t xml:space="preserve">0.6 </w:t>
      </w:r>
      <w:proofErr w:type="spellStart"/>
      <w:r>
        <w:t>lb</w:t>
      </w:r>
      <w:proofErr w:type="spellEnd"/>
      <w:r>
        <w:t>/</w:t>
      </w:r>
      <w:proofErr w:type="spellStart"/>
      <w:r>
        <w:t>MMscf</w:t>
      </w:r>
      <w:proofErr w:type="spellEnd"/>
      <w:r>
        <w:t xml:space="preserve"> based on AP-42 Table 1.4-2 dated 7/98</w:t>
      </w:r>
    </w:p>
    <w:p w14:paraId="5CE557C2" w14:textId="77777777" w:rsidR="00425361" w:rsidRDefault="00425361" w:rsidP="00425361">
      <w:pPr>
        <w:tabs>
          <w:tab w:val="left" w:pos="3240"/>
          <w:tab w:val="left" w:pos="3600"/>
        </w:tabs>
        <w:ind w:left="3600" w:hanging="2160"/>
      </w:pPr>
      <w:r>
        <w:t>NO</w:t>
      </w:r>
      <w:r>
        <w:rPr>
          <w:vertAlign w:val="subscript"/>
        </w:rPr>
        <w:t>x</w:t>
      </w:r>
      <w:r>
        <w:tab/>
        <w:t>–</w:t>
      </w:r>
      <w:r>
        <w:tab/>
        <w:t xml:space="preserve">100 </w:t>
      </w:r>
      <w:proofErr w:type="spellStart"/>
      <w:r>
        <w:t>lb</w:t>
      </w:r>
      <w:proofErr w:type="spellEnd"/>
      <w:r>
        <w:t>/</w:t>
      </w:r>
      <w:proofErr w:type="spellStart"/>
      <w:r>
        <w:t>MMscf</w:t>
      </w:r>
      <w:proofErr w:type="spellEnd"/>
      <w:r>
        <w:t xml:space="preserve"> based on AP-42 Table 1.4-1 dated 7/98</w:t>
      </w:r>
    </w:p>
    <w:p w14:paraId="6564964D" w14:textId="77777777" w:rsidR="00425361" w:rsidRDefault="00425361" w:rsidP="00425361">
      <w:pPr>
        <w:tabs>
          <w:tab w:val="left" w:pos="3240"/>
          <w:tab w:val="left" w:pos="3600"/>
        </w:tabs>
        <w:ind w:left="3600" w:hanging="2160"/>
      </w:pPr>
      <w:r>
        <w:t>CO</w:t>
      </w:r>
      <w:r>
        <w:tab/>
        <w:t>–</w:t>
      </w:r>
      <w:r>
        <w:tab/>
        <w:t xml:space="preserve">84 </w:t>
      </w:r>
      <w:proofErr w:type="spellStart"/>
      <w:r>
        <w:t>lb</w:t>
      </w:r>
      <w:proofErr w:type="spellEnd"/>
      <w:r>
        <w:t>/</w:t>
      </w:r>
      <w:proofErr w:type="spellStart"/>
      <w:r>
        <w:t>MMscf</w:t>
      </w:r>
      <w:proofErr w:type="spellEnd"/>
      <w:r>
        <w:t xml:space="preserve"> based on AP-42 Table 1.4-1 dated 7/98</w:t>
      </w:r>
    </w:p>
    <w:p w14:paraId="5EE6E63B" w14:textId="77777777" w:rsidR="00425361" w:rsidRDefault="00425361" w:rsidP="00425361">
      <w:pPr>
        <w:tabs>
          <w:tab w:val="left" w:pos="3240"/>
          <w:tab w:val="left" w:pos="3600"/>
        </w:tabs>
        <w:ind w:left="3600" w:hanging="2160"/>
      </w:pPr>
      <w:r>
        <w:t>VOC</w:t>
      </w:r>
      <w:r>
        <w:tab/>
        <w:t>–</w:t>
      </w:r>
      <w:r>
        <w:tab/>
        <w:t xml:space="preserve">5.5 </w:t>
      </w:r>
      <w:proofErr w:type="spellStart"/>
      <w:r>
        <w:t>lb</w:t>
      </w:r>
      <w:proofErr w:type="spellEnd"/>
      <w:r>
        <w:t>/</w:t>
      </w:r>
      <w:proofErr w:type="spellStart"/>
      <w:r>
        <w:t>MMscf</w:t>
      </w:r>
      <w:proofErr w:type="spellEnd"/>
      <w:r>
        <w:t xml:space="preserve"> based on AP-42 Table 1.4-2 dated 7/98</w:t>
      </w:r>
    </w:p>
    <w:p w14:paraId="5B1B529A" w14:textId="345EBEC9" w:rsidR="00425361" w:rsidRDefault="00425361" w:rsidP="00425361">
      <w:pPr>
        <w:tabs>
          <w:tab w:val="left" w:pos="3240"/>
          <w:tab w:val="left" w:pos="3600"/>
        </w:tabs>
        <w:ind w:left="3600" w:hanging="2160"/>
      </w:pPr>
      <w:r>
        <w:t>Visible Emissions</w:t>
      </w:r>
      <w:r>
        <w:tab/>
        <w:t>–</w:t>
      </w:r>
      <w:r>
        <w:tab/>
        <w:t>06-096 C.M.R. ch. 101</w:t>
      </w:r>
      <w:r>
        <w:tab/>
      </w:r>
    </w:p>
    <w:p w14:paraId="423CD0BC" w14:textId="77777777" w:rsidR="00425361" w:rsidRDefault="00425361" w:rsidP="00952485">
      <w:pPr>
        <w:tabs>
          <w:tab w:val="left" w:pos="720"/>
          <w:tab w:val="left" w:pos="1080"/>
        </w:tabs>
        <w:ind w:left="720" w:hanging="720"/>
      </w:pPr>
    </w:p>
    <w:p w14:paraId="3220A0A1" w14:textId="34379854" w:rsidR="00123155" w:rsidRDefault="00123155" w:rsidP="00952485">
      <w:pPr>
        <w:tabs>
          <w:tab w:val="left" w:pos="720"/>
        </w:tabs>
        <w:ind w:left="1440"/>
      </w:pPr>
      <w:r>
        <w:t xml:space="preserve">The </w:t>
      </w:r>
      <w:r w:rsidRPr="001F228A">
        <w:t>BACT</w:t>
      </w:r>
      <w:r w:rsidRPr="008F5F2E">
        <w:rPr>
          <w:b/>
          <w:i/>
        </w:rPr>
        <w:t xml:space="preserve"> </w:t>
      </w:r>
      <w:r>
        <w:t xml:space="preserve">emission limits for </w:t>
      </w:r>
      <w:r w:rsidRPr="00B76DF9">
        <w:rPr>
          <w:bCs/>
          <w:iCs/>
        </w:rPr>
        <w:t>Boiler #</w:t>
      </w:r>
      <w:r w:rsidR="00B76DF9" w:rsidRPr="00B76DF9">
        <w:rPr>
          <w:bCs/>
          <w:iCs/>
        </w:rPr>
        <w:t>3</w:t>
      </w:r>
      <w:r w:rsidR="0084182A">
        <w:rPr>
          <w:bCs/>
          <w:iCs/>
        </w:rPr>
        <w:t xml:space="preserve"> and Steam Boiler #1</w:t>
      </w:r>
      <w:r w:rsidRPr="007225E6">
        <w:rPr>
          <w:b/>
          <w:i/>
        </w:rPr>
        <w:t xml:space="preserve"> </w:t>
      </w:r>
      <w:r>
        <w:t>are the following:</w:t>
      </w:r>
      <w:r>
        <w:tab/>
      </w:r>
    </w:p>
    <w:p w14:paraId="28BEFC48" w14:textId="77777777" w:rsidR="00123155" w:rsidRDefault="00123155" w:rsidP="00952485">
      <w:pPr>
        <w:tabs>
          <w:tab w:val="left" w:pos="720"/>
        </w:tabs>
      </w:pPr>
    </w:p>
    <w:tbl>
      <w:tblPr>
        <w:tblW w:w="4410"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620"/>
        <w:gridCol w:w="1170"/>
        <w:gridCol w:w="1620"/>
      </w:tblGrid>
      <w:tr w:rsidR="00123155" w:rsidRPr="005922AF" w14:paraId="3E891729" w14:textId="77777777" w:rsidTr="00B76DF9">
        <w:trPr>
          <w:tblHeader/>
        </w:trPr>
        <w:tc>
          <w:tcPr>
            <w:tcW w:w="1620" w:type="dxa"/>
            <w:shd w:val="clear" w:color="auto" w:fill="D9D9D9" w:themeFill="background1" w:themeFillShade="D9"/>
          </w:tcPr>
          <w:p w14:paraId="76B05EAB" w14:textId="77777777" w:rsidR="00123155" w:rsidRPr="00606AF4" w:rsidRDefault="00123155" w:rsidP="00952485">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tcPr>
          <w:p w14:paraId="672CBDEE" w14:textId="77777777" w:rsidR="00123155" w:rsidRPr="00606AF4" w:rsidRDefault="00123155" w:rsidP="00952485">
            <w:pPr>
              <w:tabs>
                <w:tab w:val="left" w:pos="720"/>
              </w:tabs>
              <w:jc w:val="center"/>
              <w:rPr>
                <w:b/>
                <w:sz w:val="22"/>
                <w:szCs w:val="22"/>
              </w:rPr>
            </w:pPr>
            <w:r w:rsidRPr="00606AF4">
              <w:rPr>
                <w:b/>
                <w:sz w:val="22"/>
                <w:szCs w:val="22"/>
              </w:rPr>
              <w:t>Pollutant</w:t>
            </w:r>
          </w:p>
        </w:tc>
        <w:tc>
          <w:tcPr>
            <w:tcW w:w="1620" w:type="dxa"/>
            <w:shd w:val="clear" w:color="auto" w:fill="D9D9D9" w:themeFill="background1" w:themeFillShade="D9"/>
          </w:tcPr>
          <w:p w14:paraId="3A7F3E62" w14:textId="77777777" w:rsidR="00123155" w:rsidRPr="00606AF4" w:rsidRDefault="00123155" w:rsidP="00952485">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p>
        </w:tc>
      </w:tr>
      <w:tr w:rsidR="00123155" w:rsidRPr="005922AF" w14:paraId="3CC707F5" w14:textId="77777777" w:rsidTr="00B76DF9">
        <w:trPr>
          <w:trHeight w:val="72"/>
          <w:tblHeader/>
        </w:trPr>
        <w:tc>
          <w:tcPr>
            <w:tcW w:w="1620" w:type="dxa"/>
            <w:vAlign w:val="center"/>
          </w:tcPr>
          <w:p w14:paraId="2C4A4667" w14:textId="23B76301" w:rsidR="00123155" w:rsidRPr="00606AF4" w:rsidRDefault="00123155" w:rsidP="00952485">
            <w:pPr>
              <w:tabs>
                <w:tab w:val="left" w:pos="720"/>
              </w:tabs>
              <w:rPr>
                <w:sz w:val="22"/>
                <w:szCs w:val="22"/>
              </w:rPr>
            </w:pPr>
            <w:r w:rsidRPr="00606AF4">
              <w:rPr>
                <w:sz w:val="22"/>
                <w:szCs w:val="22"/>
              </w:rPr>
              <w:t>Boiler #</w:t>
            </w:r>
            <w:r w:rsidR="0084182A">
              <w:rPr>
                <w:sz w:val="22"/>
                <w:szCs w:val="22"/>
              </w:rPr>
              <w:t>3</w:t>
            </w:r>
          </w:p>
        </w:tc>
        <w:tc>
          <w:tcPr>
            <w:tcW w:w="1170" w:type="dxa"/>
            <w:vAlign w:val="center"/>
          </w:tcPr>
          <w:p w14:paraId="387BB456" w14:textId="77777777" w:rsidR="00123155" w:rsidRPr="00606AF4" w:rsidRDefault="00123155" w:rsidP="00952485">
            <w:pPr>
              <w:tabs>
                <w:tab w:val="left" w:pos="720"/>
              </w:tabs>
              <w:jc w:val="center"/>
              <w:rPr>
                <w:sz w:val="22"/>
                <w:szCs w:val="22"/>
              </w:rPr>
            </w:pPr>
            <w:r w:rsidRPr="00606AF4">
              <w:rPr>
                <w:sz w:val="22"/>
                <w:szCs w:val="22"/>
              </w:rPr>
              <w:t>PM</w:t>
            </w:r>
          </w:p>
        </w:tc>
        <w:tc>
          <w:tcPr>
            <w:tcW w:w="1620" w:type="dxa"/>
            <w:vAlign w:val="center"/>
          </w:tcPr>
          <w:p w14:paraId="7CC215B0" w14:textId="3F105AB5" w:rsidR="00123155" w:rsidRPr="00606AF4" w:rsidRDefault="00B76DF9" w:rsidP="00952485">
            <w:pPr>
              <w:tabs>
                <w:tab w:val="left" w:pos="720"/>
              </w:tabs>
              <w:jc w:val="center"/>
              <w:rPr>
                <w:sz w:val="22"/>
                <w:szCs w:val="22"/>
              </w:rPr>
            </w:pPr>
            <w:r>
              <w:rPr>
                <w:sz w:val="22"/>
                <w:szCs w:val="22"/>
              </w:rPr>
              <w:t>0.05</w:t>
            </w:r>
          </w:p>
        </w:tc>
      </w:tr>
    </w:tbl>
    <w:p w14:paraId="3A892822" w14:textId="77777777" w:rsidR="00123155" w:rsidRDefault="00123155" w:rsidP="00952485">
      <w:pPr>
        <w:tabs>
          <w:tab w:val="left" w:pos="720"/>
          <w:tab w:val="left" w:pos="1080"/>
        </w:tabs>
      </w:pPr>
    </w:p>
    <w:tbl>
      <w:tblPr>
        <w:tblW w:w="7920"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620"/>
        <w:gridCol w:w="900"/>
        <w:gridCol w:w="900"/>
        <w:gridCol w:w="900"/>
        <w:gridCol w:w="900"/>
        <w:gridCol w:w="900"/>
        <w:gridCol w:w="900"/>
        <w:gridCol w:w="900"/>
      </w:tblGrid>
      <w:tr w:rsidR="00123155" w14:paraId="525A8FE7" w14:textId="77777777" w:rsidTr="001107DC">
        <w:tc>
          <w:tcPr>
            <w:tcW w:w="1620" w:type="dxa"/>
            <w:shd w:val="clear" w:color="auto" w:fill="D9D9D9" w:themeFill="background1" w:themeFillShade="D9"/>
            <w:vAlign w:val="bottom"/>
          </w:tcPr>
          <w:p w14:paraId="3AD569EF" w14:textId="77777777" w:rsidR="00123155" w:rsidRPr="00606AF4" w:rsidRDefault="00123155" w:rsidP="00952485">
            <w:pPr>
              <w:pStyle w:val="Heading3"/>
              <w:numPr>
                <w:ilvl w:val="0"/>
                <w:numId w:val="0"/>
              </w:numPr>
              <w:jc w:val="center"/>
              <w:rPr>
                <w:b/>
                <w:sz w:val="22"/>
                <w:szCs w:val="22"/>
                <w:u w:val="none"/>
              </w:rPr>
            </w:pPr>
            <w:r w:rsidRPr="00606AF4">
              <w:rPr>
                <w:b/>
                <w:sz w:val="22"/>
                <w:szCs w:val="22"/>
                <w:u w:val="none"/>
              </w:rPr>
              <w:t>Unit</w:t>
            </w:r>
          </w:p>
        </w:tc>
        <w:tc>
          <w:tcPr>
            <w:tcW w:w="900" w:type="dxa"/>
            <w:shd w:val="clear" w:color="auto" w:fill="D9D9D9" w:themeFill="background1" w:themeFillShade="D9"/>
            <w:vAlign w:val="bottom"/>
          </w:tcPr>
          <w:p w14:paraId="284DB78A"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4886E813"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7A81EA8E"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651038A1"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3A5959D2" w14:textId="77777777" w:rsidR="00123155"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10D7A542"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00" w:type="dxa"/>
            <w:shd w:val="clear" w:color="auto" w:fill="D9D9D9" w:themeFill="background1" w:themeFillShade="D9"/>
            <w:vAlign w:val="bottom"/>
          </w:tcPr>
          <w:p w14:paraId="3BEB91E5"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5748CB84"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1EB4722E"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0B8CFF6B"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3B2F61E5"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23CB669C"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4D2C2F09"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3315473C" w14:textId="77777777" w:rsidR="00123155" w:rsidRPr="00606AF4" w:rsidRDefault="00123155" w:rsidP="00952485">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123155" w14:paraId="44E37A28" w14:textId="77777777" w:rsidTr="001107DC">
        <w:tc>
          <w:tcPr>
            <w:tcW w:w="1620" w:type="dxa"/>
            <w:vAlign w:val="center"/>
          </w:tcPr>
          <w:p w14:paraId="3EEA2D30" w14:textId="17989D3A" w:rsidR="00123155" w:rsidRPr="00B76DF9" w:rsidRDefault="00123155" w:rsidP="00952485">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sidR="00B76DF9">
              <w:rPr>
                <w:sz w:val="22"/>
                <w:szCs w:val="22"/>
              </w:rPr>
              <w:t>3</w:t>
            </w:r>
          </w:p>
        </w:tc>
        <w:tc>
          <w:tcPr>
            <w:tcW w:w="900" w:type="dxa"/>
            <w:vAlign w:val="center"/>
          </w:tcPr>
          <w:p w14:paraId="38D46E2B" w14:textId="67CA3EBD" w:rsidR="00123155" w:rsidRPr="00606AF4" w:rsidRDefault="00B76DF9"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1.05</w:t>
            </w:r>
          </w:p>
        </w:tc>
        <w:tc>
          <w:tcPr>
            <w:tcW w:w="900" w:type="dxa"/>
            <w:vAlign w:val="center"/>
          </w:tcPr>
          <w:p w14:paraId="48933865" w14:textId="163A714E" w:rsidR="00123155" w:rsidRPr="00606AF4" w:rsidRDefault="00B976B0"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1.05</w:t>
            </w:r>
          </w:p>
        </w:tc>
        <w:tc>
          <w:tcPr>
            <w:tcW w:w="900" w:type="dxa"/>
            <w:vAlign w:val="center"/>
          </w:tcPr>
          <w:p w14:paraId="52E74D30" w14:textId="6EC7E442" w:rsidR="00123155" w:rsidRPr="00606AF4" w:rsidRDefault="00B976B0"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1.05</w:t>
            </w:r>
          </w:p>
        </w:tc>
        <w:tc>
          <w:tcPr>
            <w:tcW w:w="900" w:type="dxa"/>
            <w:vAlign w:val="center"/>
          </w:tcPr>
          <w:p w14:paraId="0E8903C1" w14:textId="52A4C367" w:rsidR="00123155" w:rsidRPr="00606AF4" w:rsidRDefault="00B76DF9"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00" w:type="dxa"/>
            <w:vAlign w:val="center"/>
          </w:tcPr>
          <w:p w14:paraId="3961CA5F" w14:textId="62F0F100" w:rsidR="00123155" w:rsidRPr="00606AF4" w:rsidRDefault="00B76DF9"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2.04</w:t>
            </w:r>
          </w:p>
        </w:tc>
        <w:tc>
          <w:tcPr>
            <w:tcW w:w="900" w:type="dxa"/>
            <w:vAlign w:val="center"/>
          </w:tcPr>
          <w:p w14:paraId="779D6E62" w14:textId="24C0CA0F" w:rsidR="00123155" w:rsidRPr="00606AF4" w:rsidRDefault="00B76DF9"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1.71</w:t>
            </w:r>
          </w:p>
        </w:tc>
        <w:tc>
          <w:tcPr>
            <w:tcW w:w="900" w:type="dxa"/>
            <w:vAlign w:val="center"/>
          </w:tcPr>
          <w:p w14:paraId="6DA09791" w14:textId="59E0256D" w:rsidR="00123155" w:rsidRPr="00606AF4" w:rsidRDefault="00B76DF9"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r>
      <w:tr w:rsidR="0084182A" w14:paraId="6C862311" w14:textId="77777777" w:rsidTr="001107DC">
        <w:tc>
          <w:tcPr>
            <w:tcW w:w="1620" w:type="dxa"/>
            <w:vAlign w:val="center"/>
          </w:tcPr>
          <w:p w14:paraId="23491385" w14:textId="25BF160D" w:rsidR="0084182A" w:rsidRPr="00606AF4" w:rsidRDefault="0084182A" w:rsidP="00952485">
            <w:pPr>
              <w:tabs>
                <w:tab w:val="left" w:pos="360"/>
                <w:tab w:val="left" w:pos="720"/>
                <w:tab w:val="left" w:pos="1080"/>
                <w:tab w:val="left" w:pos="1440"/>
                <w:tab w:val="left" w:pos="1800"/>
                <w:tab w:val="left" w:pos="2160"/>
                <w:tab w:val="left" w:pos="2520"/>
                <w:tab w:val="left" w:pos="2880"/>
              </w:tabs>
              <w:rPr>
                <w:sz w:val="22"/>
                <w:szCs w:val="22"/>
              </w:rPr>
            </w:pPr>
            <w:r>
              <w:rPr>
                <w:sz w:val="22"/>
                <w:szCs w:val="22"/>
              </w:rPr>
              <w:t>Steam Boiler #1</w:t>
            </w:r>
          </w:p>
        </w:tc>
        <w:tc>
          <w:tcPr>
            <w:tcW w:w="900" w:type="dxa"/>
            <w:vAlign w:val="center"/>
          </w:tcPr>
          <w:p w14:paraId="457EA318" w14:textId="23477FC0"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0.13</w:t>
            </w:r>
          </w:p>
        </w:tc>
        <w:tc>
          <w:tcPr>
            <w:tcW w:w="900" w:type="dxa"/>
            <w:vAlign w:val="center"/>
          </w:tcPr>
          <w:p w14:paraId="26439807" w14:textId="13A93996"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B976B0">
              <w:rPr>
                <w:sz w:val="22"/>
                <w:szCs w:val="22"/>
              </w:rPr>
              <w:t>13</w:t>
            </w:r>
          </w:p>
        </w:tc>
        <w:tc>
          <w:tcPr>
            <w:tcW w:w="900" w:type="dxa"/>
            <w:vAlign w:val="center"/>
          </w:tcPr>
          <w:p w14:paraId="0A2C02E3" w14:textId="1A7C7921"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B976B0">
              <w:rPr>
                <w:sz w:val="22"/>
                <w:szCs w:val="22"/>
              </w:rPr>
              <w:t>13</w:t>
            </w:r>
          </w:p>
        </w:tc>
        <w:tc>
          <w:tcPr>
            <w:tcW w:w="900" w:type="dxa"/>
            <w:vAlign w:val="center"/>
          </w:tcPr>
          <w:p w14:paraId="557776BC" w14:textId="46D1FBF2"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00" w:type="dxa"/>
            <w:vAlign w:val="center"/>
          </w:tcPr>
          <w:p w14:paraId="6312F3F2" w14:textId="215239C4"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0.25</w:t>
            </w:r>
          </w:p>
        </w:tc>
        <w:tc>
          <w:tcPr>
            <w:tcW w:w="900" w:type="dxa"/>
            <w:vAlign w:val="center"/>
          </w:tcPr>
          <w:p w14:paraId="69256919" w14:textId="125FB68E"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0.21</w:t>
            </w:r>
          </w:p>
        </w:tc>
        <w:tc>
          <w:tcPr>
            <w:tcW w:w="900" w:type="dxa"/>
            <w:vAlign w:val="center"/>
          </w:tcPr>
          <w:p w14:paraId="5B3DCA48" w14:textId="2F80CD7C" w:rsidR="0084182A" w:rsidRDefault="0084182A" w:rsidP="00952485">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bl>
    <w:p w14:paraId="5C309642" w14:textId="77777777" w:rsidR="00B4147A" w:rsidRDefault="00B4147A" w:rsidP="00952485">
      <w:pPr>
        <w:jc w:val="left"/>
      </w:pPr>
    </w:p>
    <w:p w14:paraId="56EDFAF9" w14:textId="77777777" w:rsidR="00B4147A" w:rsidRDefault="0092745C" w:rsidP="00DA393F">
      <w:pPr>
        <w:pStyle w:val="Heading4"/>
      </w:pPr>
      <w:r w:rsidRPr="00DA393F">
        <w:t>Visible</w:t>
      </w:r>
      <w:r>
        <w:t xml:space="preserve"> Emissions</w:t>
      </w:r>
    </w:p>
    <w:p w14:paraId="02C20F68" w14:textId="77777777" w:rsidR="00B4147A" w:rsidRPr="0092745C" w:rsidRDefault="00B4147A" w:rsidP="0092745C">
      <w:pPr>
        <w:jc w:val="left"/>
      </w:pPr>
    </w:p>
    <w:p w14:paraId="5881B2F2" w14:textId="1AAAD032" w:rsidR="0092745C" w:rsidRPr="0092745C" w:rsidRDefault="0092745C" w:rsidP="0092745C">
      <w:pPr>
        <w:pStyle w:val="BodyTextIndent3"/>
        <w:tabs>
          <w:tab w:val="left" w:pos="1080"/>
          <w:tab w:val="left" w:pos="1440"/>
          <w:tab w:val="left" w:pos="1800"/>
        </w:tabs>
        <w:spacing w:after="0"/>
        <w:ind w:left="1080"/>
        <w:rPr>
          <w:sz w:val="24"/>
          <w:szCs w:val="24"/>
        </w:rPr>
      </w:pPr>
      <w:bookmarkStart w:id="2" w:name="_Hlk146718756"/>
      <w:r w:rsidRPr="0092745C">
        <w:rPr>
          <w:sz w:val="24"/>
          <w:szCs w:val="24"/>
        </w:rPr>
        <w:t xml:space="preserve">Visible emissions from </w:t>
      </w:r>
      <w:r w:rsidR="00B76DF9">
        <w:rPr>
          <w:sz w:val="24"/>
          <w:szCs w:val="24"/>
        </w:rPr>
        <w:t>B</w:t>
      </w:r>
      <w:r w:rsidRPr="0092745C">
        <w:rPr>
          <w:sz w:val="24"/>
          <w:szCs w:val="24"/>
        </w:rPr>
        <w:t>oiler</w:t>
      </w:r>
      <w:r w:rsidR="00B76DF9">
        <w:rPr>
          <w:sz w:val="24"/>
          <w:szCs w:val="24"/>
        </w:rPr>
        <w:t xml:space="preserve"> #3</w:t>
      </w:r>
      <w:r w:rsidR="0084182A">
        <w:rPr>
          <w:sz w:val="24"/>
          <w:szCs w:val="24"/>
        </w:rPr>
        <w:t xml:space="preserve"> and Steam Boiler #1</w:t>
      </w:r>
      <w:r w:rsidRPr="0092745C">
        <w:rPr>
          <w:sz w:val="24"/>
          <w:szCs w:val="24"/>
        </w:rPr>
        <w:t xml:space="preserve"> shall</w:t>
      </w:r>
      <w:r w:rsidR="0084182A">
        <w:rPr>
          <w:sz w:val="24"/>
          <w:szCs w:val="24"/>
        </w:rPr>
        <w:t xml:space="preserve"> each</w:t>
      </w:r>
      <w:r w:rsidRPr="0092745C">
        <w:rPr>
          <w:sz w:val="24"/>
          <w:szCs w:val="24"/>
        </w:rPr>
        <w:t xml:space="preserve"> not exceed 10%</w:t>
      </w:r>
      <w:r w:rsidR="0084182A">
        <w:rPr>
          <w:sz w:val="24"/>
          <w:szCs w:val="24"/>
        </w:rPr>
        <w:t> </w:t>
      </w:r>
      <w:r w:rsidRPr="0092745C">
        <w:rPr>
          <w:sz w:val="24"/>
          <w:szCs w:val="24"/>
        </w:rPr>
        <w:t>opacity on a six-minute block average basis.</w:t>
      </w:r>
    </w:p>
    <w:bookmarkEnd w:id="2"/>
    <w:p w14:paraId="160CE0A0" w14:textId="77777777" w:rsidR="00B4147A" w:rsidRPr="0092745C" w:rsidRDefault="00B4147A" w:rsidP="0092745C">
      <w:pPr>
        <w:jc w:val="left"/>
      </w:pPr>
    </w:p>
    <w:p w14:paraId="6185334C" w14:textId="77777777" w:rsidR="00B02F5B" w:rsidRDefault="00B02F5B" w:rsidP="00B02F5B">
      <w:pPr>
        <w:pStyle w:val="Heading4"/>
      </w:pPr>
      <w:r>
        <w:t>New Source Performance Standards (NSPS): 40 C.F.R. Part 60, Subpart Dc</w:t>
      </w:r>
    </w:p>
    <w:p w14:paraId="4E0DCCEA" w14:textId="77777777" w:rsidR="00B02F5B" w:rsidRPr="00B02F5B" w:rsidRDefault="00B02F5B" w:rsidP="00B02F5B">
      <w:pPr>
        <w:jc w:val="left"/>
      </w:pPr>
    </w:p>
    <w:p w14:paraId="027B12D7" w14:textId="25C64B68" w:rsidR="00B02F5B" w:rsidRDefault="00B02F5B" w:rsidP="00B02F5B">
      <w:pPr>
        <w:ind w:left="1080"/>
      </w:pPr>
      <w:r w:rsidRPr="00B02F5B">
        <w:t xml:space="preserve">Due to the </w:t>
      </w:r>
      <w:r w:rsidRPr="00D802BD">
        <w:rPr>
          <w:bCs/>
          <w:iCs/>
        </w:rPr>
        <w:t>year of manufacture</w:t>
      </w:r>
      <w:r w:rsidR="00D802BD">
        <w:t xml:space="preserve"> and not being modified in a manner that meets the definition of a modification (</w:t>
      </w:r>
      <w:r w:rsidR="00D802BD" w:rsidRPr="00D802BD">
        <w:t>40 C</w:t>
      </w:r>
      <w:r w:rsidR="00D802BD">
        <w:t>.</w:t>
      </w:r>
      <w:r w:rsidR="00D802BD" w:rsidRPr="00D802BD">
        <w:t>F</w:t>
      </w:r>
      <w:r w:rsidR="00D802BD">
        <w:t>.</w:t>
      </w:r>
      <w:r w:rsidR="00D802BD" w:rsidRPr="00D802BD">
        <w:t>R</w:t>
      </w:r>
      <w:r w:rsidR="00D802BD">
        <w:t>.</w:t>
      </w:r>
      <w:r w:rsidR="00D802BD" w:rsidRPr="00D802BD">
        <w:t xml:space="preserve"> </w:t>
      </w:r>
      <w:r w:rsidR="00D802BD">
        <w:t xml:space="preserve">§ </w:t>
      </w:r>
      <w:r w:rsidR="00D802BD" w:rsidRPr="00D802BD">
        <w:t>60.2 “Modification”</w:t>
      </w:r>
      <w:r w:rsidR="00D802BD">
        <w:t>)</w:t>
      </w:r>
      <w:r w:rsidRPr="00B02F5B">
        <w:t xml:space="preserve">, </w:t>
      </w:r>
      <w:r w:rsidR="00D802BD">
        <w:t>B</w:t>
      </w:r>
      <w:r w:rsidRPr="00B02F5B">
        <w:t>oiler</w:t>
      </w:r>
      <w:r w:rsidR="00D802BD">
        <w:t xml:space="preserve"> #3 is not </w:t>
      </w:r>
      <w:r w:rsidRPr="00B02F5B">
        <w:t xml:space="preserve">subject to </w:t>
      </w:r>
      <w:r w:rsidRPr="00B02F5B">
        <w:rPr>
          <w:i/>
        </w:rPr>
        <w:t>Standards of Performance for Small Industrial-Commercial-Institutional Steam Generating Units</w:t>
      </w:r>
      <w:r w:rsidRPr="00B02F5B">
        <w:t xml:space="preserve"> 40 C.F.R. Part 60, Subpart Dc</w:t>
      </w:r>
      <w:r w:rsidR="0084182A">
        <w:t xml:space="preserve"> (Subpart Dc)</w:t>
      </w:r>
      <w:r w:rsidRPr="00B02F5B">
        <w:t xml:space="preserve"> for units greater than 10</w:t>
      </w:r>
      <w:r w:rsidR="00971948">
        <w:t> </w:t>
      </w:r>
      <w:r w:rsidRPr="00B02F5B">
        <w:t>MMBtu/</w:t>
      </w:r>
      <w:proofErr w:type="spellStart"/>
      <w:r w:rsidRPr="00B02F5B">
        <w:t>hr</w:t>
      </w:r>
      <w:proofErr w:type="spellEnd"/>
      <w:r w:rsidRPr="00B02F5B">
        <w:t xml:space="preserve"> manufactured after June 9, 1989. [40 C.F.R. § 60.40c]</w:t>
      </w:r>
    </w:p>
    <w:p w14:paraId="3B754FB5" w14:textId="77777777" w:rsidR="0084182A" w:rsidRPr="00B02F5B" w:rsidRDefault="0084182A" w:rsidP="00B02F5B">
      <w:pPr>
        <w:ind w:left="1080"/>
      </w:pPr>
    </w:p>
    <w:p w14:paraId="468E6FD0" w14:textId="087A1798" w:rsidR="00B02F5B" w:rsidRPr="00B02F5B" w:rsidRDefault="0084182A" w:rsidP="00B02F5B">
      <w:pPr>
        <w:ind w:left="1080"/>
      </w:pPr>
      <w:r w:rsidRPr="00B02F5B">
        <w:t xml:space="preserve">Due to the </w:t>
      </w:r>
      <w:r>
        <w:t xml:space="preserve">size of the unit, Steam Boiler #1 is not </w:t>
      </w:r>
      <w:r w:rsidRPr="00B02F5B">
        <w:t>subject to Subpart Dc for units greater than 10 MMBtu/</w:t>
      </w:r>
      <w:proofErr w:type="spellStart"/>
      <w:r w:rsidRPr="00B02F5B">
        <w:t>hr</w:t>
      </w:r>
      <w:proofErr w:type="spellEnd"/>
      <w:r w:rsidRPr="00B02F5B">
        <w:t xml:space="preserve"> manufactured after June 9, 1989. [40 C.F.R. § 60.40c]</w:t>
      </w:r>
    </w:p>
    <w:p w14:paraId="60A68F66" w14:textId="77777777" w:rsidR="0092745C" w:rsidRDefault="0092745C" w:rsidP="005F5B62">
      <w:pPr>
        <w:jc w:val="left"/>
      </w:pPr>
    </w:p>
    <w:p w14:paraId="2E9663FE" w14:textId="77777777" w:rsidR="0084182A" w:rsidRDefault="0084182A">
      <w:pPr>
        <w:jc w:val="left"/>
      </w:pPr>
      <w:r>
        <w:br w:type="page"/>
      </w:r>
    </w:p>
    <w:p w14:paraId="70D826C0" w14:textId="4EE7D2FF" w:rsidR="0092745C" w:rsidRDefault="00A32F22" w:rsidP="00A32F22">
      <w:pPr>
        <w:pStyle w:val="Heading4"/>
      </w:pPr>
      <w:r>
        <w:lastRenderedPageBreak/>
        <w:t xml:space="preserve">National Emission Standards for Hazardous Air Pollutants (NESHAP): </w:t>
      </w:r>
      <w:r w:rsidRPr="00346927">
        <w:t>40</w:t>
      </w:r>
      <w:r>
        <w:t> </w:t>
      </w:r>
      <w:r w:rsidRPr="00346927">
        <w:t>C</w:t>
      </w:r>
      <w:r>
        <w:t>.</w:t>
      </w:r>
      <w:r w:rsidRPr="00346927">
        <w:t>F</w:t>
      </w:r>
      <w:r>
        <w:t>.</w:t>
      </w:r>
      <w:r w:rsidRPr="00346927">
        <w:t>R</w:t>
      </w:r>
      <w:r>
        <w:t>. </w:t>
      </w:r>
      <w:r w:rsidRPr="00346927">
        <w:t>Part</w:t>
      </w:r>
      <w:r>
        <w:t> </w:t>
      </w:r>
      <w:r w:rsidRPr="00346927">
        <w:t>63</w:t>
      </w:r>
      <w:r>
        <w:t>,</w:t>
      </w:r>
      <w:r w:rsidRPr="00346927">
        <w:t xml:space="preserve"> Subpart</w:t>
      </w:r>
      <w:r>
        <w:t xml:space="preserve"> JJJJJJ</w:t>
      </w:r>
    </w:p>
    <w:p w14:paraId="2F5386C4" w14:textId="77777777" w:rsidR="0092745C" w:rsidRDefault="0092745C" w:rsidP="005F5B62">
      <w:pPr>
        <w:jc w:val="left"/>
      </w:pPr>
    </w:p>
    <w:p w14:paraId="0954EE92" w14:textId="23E65145" w:rsidR="00A32F22" w:rsidRDefault="00A32F22" w:rsidP="00A32F22">
      <w:pPr>
        <w:tabs>
          <w:tab w:val="left" w:pos="1080"/>
        </w:tabs>
        <w:ind w:left="1080"/>
      </w:pPr>
      <w:r w:rsidRPr="00D802BD">
        <w:t>Boiler #</w:t>
      </w:r>
      <w:r w:rsidR="00D802BD" w:rsidRPr="00D802BD">
        <w:t>3</w:t>
      </w:r>
      <w:r w:rsidR="0084182A">
        <w:t xml:space="preserve"> and Steam Boiler #1</w:t>
      </w:r>
      <w:r>
        <w:t xml:space="preserve"> </w:t>
      </w:r>
      <w:r w:rsidR="0084182A">
        <w:t>are</w:t>
      </w:r>
      <w:r>
        <w:t xml:space="preserve"> not subject to the </w:t>
      </w:r>
      <w:r>
        <w:rPr>
          <w:i/>
        </w:rPr>
        <w:t>National Emission Standards for Hazardous Air Pollutants for Industrial, Commercial, and Institutional Boilers Area Sources</w:t>
      </w:r>
      <w:r>
        <w:t xml:space="preserve">, 40 C.F.R. Part 63, Subpart JJJJJJ. </w:t>
      </w:r>
      <w:r w:rsidRPr="00D802BD">
        <w:t>Natural gas-fired</w:t>
      </w:r>
      <w:r w:rsidR="00D802BD" w:rsidRPr="00D802BD">
        <w:t xml:space="preserve"> </w:t>
      </w:r>
      <w:r>
        <w:t>units are exempt from the requirements of this regulation. [40 C.F.R. §§ 63.11195(e)]</w:t>
      </w:r>
    </w:p>
    <w:p w14:paraId="2D10052C" w14:textId="77777777" w:rsidR="001D351B" w:rsidRPr="00752025" w:rsidRDefault="001D351B" w:rsidP="001D351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pPr>
    </w:p>
    <w:p w14:paraId="5584C482" w14:textId="3CFA2C3F" w:rsidR="00C74FE4" w:rsidRDefault="00C74FE4" w:rsidP="00C74FE4">
      <w:pPr>
        <w:pStyle w:val="Heading3"/>
      </w:pPr>
      <w:r>
        <w:t>Door Shop and Quonset Hut Furnaces</w:t>
      </w:r>
    </w:p>
    <w:p w14:paraId="6173913B" w14:textId="77777777" w:rsidR="00C74FE4" w:rsidRDefault="00C74FE4" w:rsidP="00C74FE4">
      <w:pPr>
        <w:ind w:left="720"/>
      </w:pPr>
    </w:p>
    <w:p w14:paraId="3266CE4E" w14:textId="14170BF0" w:rsidR="00C74FE4" w:rsidRDefault="00667FDB" w:rsidP="00C74FE4">
      <w:pPr>
        <w:ind w:left="720"/>
      </w:pPr>
      <w:r>
        <w:t xml:space="preserve">BIW </w:t>
      </w:r>
      <w:r w:rsidR="00B976B0">
        <w:t xml:space="preserve">proposes </w:t>
      </w:r>
      <w:proofErr w:type="gramStart"/>
      <w:r w:rsidR="00B976B0">
        <w:t>to replace</w:t>
      </w:r>
      <w:proofErr w:type="gramEnd"/>
      <w:r w:rsidR="00B976B0">
        <w:t xml:space="preserve"> the</w:t>
      </w:r>
      <w:r>
        <w:t xml:space="preserve"> Hot Air Furnace</w:t>
      </w:r>
      <w:r w:rsidR="00B976B0">
        <w:t>,</w:t>
      </w:r>
      <w:r>
        <w:t xml:space="preserve"> which fires distillate fuel</w:t>
      </w:r>
      <w:r w:rsidR="00B976B0">
        <w:t xml:space="preserve">, with the </w:t>
      </w:r>
      <w:r w:rsidR="00F61042">
        <w:t>Door Shop and Quonset Hut Furnaces, which will fire only natural gas. This will eliminate the need for their kerosene storage tanks, but they are not requesting any adjustments to their facility-wide distillate fuel limit at this time. The Door Shop and Quonset Hut Furnaces are indirect</w:t>
      </w:r>
      <w:r w:rsidR="00B976B0">
        <w:t>-</w:t>
      </w:r>
      <w:r w:rsidR="00F61042">
        <w:t xml:space="preserve">fired, natural gas furnaces that will utilize the ambient vents of the furnace they are replacing. Each furnace is rated at </w:t>
      </w:r>
      <w:r w:rsidR="00116DE4">
        <w:t>1.25</w:t>
      </w:r>
      <w:r w:rsidR="00971948">
        <w:t> </w:t>
      </w:r>
      <w:r w:rsidR="00116DE4">
        <w:t>MMBtu/hr.</w:t>
      </w:r>
    </w:p>
    <w:p w14:paraId="2D055709" w14:textId="77777777" w:rsidR="00C74FE4" w:rsidRDefault="00C74FE4" w:rsidP="00C74FE4">
      <w:pPr>
        <w:ind w:left="720"/>
      </w:pPr>
    </w:p>
    <w:p w14:paraId="40E8BFCC" w14:textId="05A0F0E3" w:rsidR="00C74FE4" w:rsidRDefault="00C74FE4" w:rsidP="00DA393F">
      <w:pPr>
        <w:pStyle w:val="Heading4"/>
        <w:numPr>
          <w:ilvl w:val="0"/>
          <w:numId w:val="122"/>
        </w:numPr>
      </w:pPr>
      <w:r>
        <w:t>BACT Findings</w:t>
      </w:r>
    </w:p>
    <w:p w14:paraId="3C12D28C" w14:textId="77777777" w:rsidR="00C74FE4" w:rsidRPr="000A7E39" w:rsidRDefault="00C74FE4" w:rsidP="00C74FE4">
      <w:pPr>
        <w:ind w:left="720"/>
      </w:pPr>
    </w:p>
    <w:p w14:paraId="3A168B7B" w14:textId="6981B72D" w:rsidR="00C74FE4" w:rsidRDefault="00C74FE4" w:rsidP="00C74FE4">
      <w:pPr>
        <w:tabs>
          <w:tab w:val="left" w:pos="720"/>
        </w:tabs>
        <w:ind w:left="1080"/>
      </w:pPr>
      <w:r>
        <w:t xml:space="preserve">Following is a BACT analysis for control of emissions from </w:t>
      </w:r>
      <w:r w:rsidR="00DA393F">
        <w:t>the Door Shop and Quonset Hut Furnaces</w:t>
      </w:r>
      <w:r>
        <w:t>.</w:t>
      </w:r>
    </w:p>
    <w:p w14:paraId="0562098C" w14:textId="77777777" w:rsidR="00C74FE4" w:rsidRDefault="00C74FE4" w:rsidP="00C74FE4">
      <w:pPr>
        <w:tabs>
          <w:tab w:val="left" w:pos="720"/>
        </w:tabs>
        <w:ind w:left="1080"/>
      </w:pPr>
    </w:p>
    <w:p w14:paraId="1D150026" w14:textId="77777777" w:rsidR="00C74FE4" w:rsidRPr="0074481B" w:rsidRDefault="00C74FE4" w:rsidP="00DA393F">
      <w:pPr>
        <w:pStyle w:val="Heading5"/>
        <w:numPr>
          <w:ilvl w:val="0"/>
          <w:numId w:val="123"/>
        </w:numPr>
      </w:pPr>
      <w:r w:rsidRPr="00952485">
        <w:t>Particulate</w:t>
      </w:r>
      <w:r w:rsidRPr="0074481B">
        <w:t xml:space="preserve"> Matter</w:t>
      </w:r>
      <w:r>
        <w:t xml:space="preserve"> (PM, PM</w:t>
      </w:r>
      <w:r w:rsidRPr="00DA393F">
        <w:rPr>
          <w:vertAlign w:val="subscript"/>
        </w:rPr>
        <w:t>10</w:t>
      </w:r>
      <w:r>
        <w:t>, PM</w:t>
      </w:r>
      <w:r w:rsidRPr="00DA393F">
        <w:rPr>
          <w:vertAlign w:val="subscript"/>
        </w:rPr>
        <w:t>2.5</w:t>
      </w:r>
      <w:r>
        <w:t>)</w:t>
      </w:r>
    </w:p>
    <w:p w14:paraId="49B385CD" w14:textId="6C64D869" w:rsidR="00C74FE4" w:rsidRDefault="00116DE4" w:rsidP="00C74FE4">
      <w:pPr>
        <w:tabs>
          <w:tab w:val="left" w:pos="720"/>
        </w:tabs>
        <w:ind w:left="1440"/>
      </w:pPr>
      <w:r>
        <w:t>BIW</w:t>
      </w:r>
      <w:r w:rsidR="00C74FE4">
        <w:t xml:space="preserve"> has proposed </w:t>
      </w:r>
      <w:proofErr w:type="gramStart"/>
      <w:r w:rsidR="00C74FE4">
        <w:t>to burn</w:t>
      </w:r>
      <w:proofErr w:type="gramEnd"/>
      <w:r w:rsidR="00C74FE4">
        <w:t xml:space="preserve"> only</w:t>
      </w:r>
      <w:r>
        <w:t xml:space="preserve"> natural gas, a</w:t>
      </w:r>
      <w:r w:rsidR="00C74FE4">
        <w:t xml:space="preserve"> low-ash content fuel</w:t>
      </w:r>
      <w:r>
        <w:t>, in the furnaces.</w:t>
      </w:r>
      <w:r w:rsidR="00C74FE4" w:rsidRPr="00D84AB0">
        <w:t xml:space="preserve"> </w:t>
      </w:r>
      <w:r w:rsidR="00C74FE4">
        <w:t xml:space="preserve">Additional add-on pollution controls are not economically feasible. </w:t>
      </w:r>
    </w:p>
    <w:p w14:paraId="0720D4B4" w14:textId="77777777" w:rsidR="00C74FE4" w:rsidRDefault="00C74FE4" w:rsidP="00C74FE4">
      <w:pPr>
        <w:tabs>
          <w:tab w:val="left" w:pos="720"/>
        </w:tabs>
        <w:ind w:left="1440"/>
      </w:pPr>
    </w:p>
    <w:p w14:paraId="118CBEF5" w14:textId="6971D02A" w:rsidR="00C74FE4" w:rsidRDefault="00C74FE4" w:rsidP="00C74FE4">
      <w:pPr>
        <w:tabs>
          <w:tab w:val="left" w:pos="720"/>
        </w:tabs>
        <w:ind w:left="1440"/>
      </w:pPr>
      <w:r>
        <w:t>BACT for PM/PM</w:t>
      </w:r>
      <w:r>
        <w:rPr>
          <w:vertAlign w:val="subscript"/>
        </w:rPr>
        <w:t>10</w:t>
      </w:r>
      <w:r>
        <w:t>/PM</w:t>
      </w:r>
      <w:r>
        <w:rPr>
          <w:vertAlign w:val="subscript"/>
        </w:rPr>
        <w:t>2.5</w:t>
      </w:r>
      <w:r>
        <w:t xml:space="preserve"> emissions from </w:t>
      </w:r>
      <w:r w:rsidR="00116DE4">
        <w:t>the Door Shop and Quonset Hut Furnaces</w:t>
      </w:r>
      <w:r>
        <w:rPr>
          <w:b/>
          <w:i/>
        </w:rPr>
        <w:t xml:space="preserve"> </w:t>
      </w:r>
      <w:r>
        <w:t>is the use of</w:t>
      </w:r>
      <w:r w:rsidR="00116DE4">
        <w:t xml:space="preserve"> natural gas, good combustion practices, </w:t>
      </w:r>
      <w:r>
        <w:t>and the emission limits listed in the tables below.</w:t>
      </w:r>
    </w:p>
    <w:p w14:paraId="5F866E01" w14:textId="77777777" w:rsidR="00C74FE4" w:rsidRDefault="00C74FE4" w:rsidP="00C74FE4">
      <w:pPr>
        <w:rPr>
          <w:u w:val="single"/>
        </w:rPr>
      </w:pPr>
    </w:p>
    <w:p w14:paraId="433714A0" w14:textId="77777777" w:rsidR="00C74FE4" w:rsidRPr="0074481B" w:rsidRDefault="00C74FE4" w:rsidP="00C74FE4">
      <w:pPr>
        <w:pStyle w:val="Heading5"/>
      </w:pPr>
      <w:r w:rsidRPr="0074481B">
        <w:t>Sulfur Dioxide</w:t>
      </w:r>
      <w:r>
        <w:t xml:space="preserve"> (SO</w:t>
      </w:r>
      <w:r>
        <w:rPr>
          <w:vertAlign w:val="subscript"/>
        </w:rPr>
        <w:t>2</w:t>
      </w:r>
      <w:r>
        <w:t>)</w:t>
      </w:r>
    </w:p>
    <w:p w14:paraId="331F060F" w14:textId="3C5400B0" w:rsidR="00C74FE4" w:rsidRDefault="00116DE4" w:rsidP="00C74FE4">
      <w:pPr>
        <w:tabs>
          <w:tab w:val="left" w:pos="720"/>
        </w:tabs>
        <w:ind w:left="1440"/>
      </w:pPr>
      <w:r>
        <w:t>BIW</w:t>
      </w:r>
      <w:r w:rsidR="00C74FE4">
        <w:t xml:space="preserve"> has proposed to fire only</w:t>
      </w:r>
      <w:r>
        <w:t xml:space="preserve"> natural gas, an inherently low</w:t>
      </w:r>
      <w:r w:rsidR="00C74FE4">
        <w:t xml:space="preserve"> sulfur content</w:t>
      </w:r>
      <w:r>
        <w:t xml:space="preserve"> fuel</w:t>
      </w:r>
      <w:r w:rsidR="00C74FE4">
        <w:t>. The use of th</w:t>
      </w:r>
      <w:r>
        <w:t>is</w:t>
      </w:r>
      <w:r w:rsidR="00C74FE4">
        <w:t xml:space="preserve"> fuel results in minimal emissions of SO</w:t>
      </w:r>
      <w:r w:rsidR="00C74FE4">
        <w:rPr>
          <w:vertAlign w:val="subscript"/>
        </w:rPr>
        <w:t>2</w:t>
      </w:r>
      <w:r w:rsidR="00C74FE4">
        <w:t xml:space="preserve">, and additional add-on pollution controls are not economically feasible. </w:t>
      </w:r>
    </w:p>
    <w:p w14:paraId="48382F50" w14:textId="77777777" w:rsidR="00C74FE4" w:rsidRDefault="00C74FE4" w:rsidP="00C74FE4">
      <w:pPr>
        <w:tabs>
          <w:tab w:val="left" w:pos="720"/>
        </w:tabs>
        <w:ind w:left="1440"/>
      </w:pPr>
    </w:p>
    <w:p w14:paraId="2E7BDCF1" w14:textId="1D92AD0E" w:rsidR="00C74FE4" w:rsidRDefault="00C74FE4" w:rsidP="00C74FE4">
      <w:pPr>
        <w:tabs>
          <w:tab w:val="left" w:pos="720"/>
        </w:tabs>
        <w:ind w:left="1440"/>
      </w:pPr>
      <w:r>
        <w:t>BACT for SO</w:t>
      </w:r>
      <w:r>
        <w:rPr>
          <w:vertAlign w:val="subscript"/>
        </w:rPr>
        <w:t>2</w:t>
      </w:r>
      <w:r>
        <w:t xml:space="preserve"> emissions from </w:t>
      </w:r>
      <w:r w:rsidR="00116DE4">
        <w:t>the Door Shop and Quonset Hut Furnaces</w:t>
      </w:r>
      <w:r>
        <w:rPr>
          <w:b/>
          <w:i/>
        </w:rPr>
        <w:t xml:space="preserve"> </w:t>
      </w:r>
      <w:r>
        <w:t>is the use of</w:t>
      </w:r>
      <w:r w:rsidR="00116DE4">
        <w:t xml:space="preserve"> natural gas</w:t>
      </w:r>
      <w:r>
        <w:t xml:space="preserve"> and the emission limits listed in the tables below.</w:t>
      </w:r>
    </w:p>
    <w:p w14:paraId="60D7CAF6" w14:textId="77777777" w:rsidR="00C74FE4" w:rsidRDefault="00C74FE4" w:rsidP="00C74FE4">
      <w:pPr>
        <w:rPr>
          <w:u w:val="single"/>
        </w:rPr>
      </w:pPr>
    </w:p>
    <w:p w14:paraId="51922F29" w14:textId="77777777" w:rsidR="00C74FE4" w:rsidRPr="0074481B" w:rsidRDefault="00C74FE4" w:rsidP="00C74FE4">
      <w:pPr>
        <w:pStyle w:val="Heading5"/>
      </w:pPr>
      <w:r w:rsidRPr="0074481B">
        <w:t>Nitrogen Oxides</w:t>
      </w:r>
      <w:r>
        <w:t xml:space="preserve"> (NO</w:t>
      </w:r>
      <w:r>
        <w:rPr>
          <w:vertAlign w:val="subscript"/>
        </w:rPr>
        <w:t>x</w:t>
      </w:r>
      <w:r>
        <w:t>)</w:t>
      </w:r>
    </w:p>
    <w:p w14:paraId="70281208" w14:textId="69C59F17" w:rsidR="00C74FE4" w:rsidRDefault="00116DE4" w:rsidP="00C74FE4">
      <w:pPr>
        <w:tabs>
          <w:tab w:val="left" w:pos="720"/>
        </w:tabs>
        <w:ind w:left="1440"/>
      </w:pPr>
      <w:r>
        <w:t>BIW</w:t>
      </w:r>
      <w:r w:rsidR="00C74FE4">
        <w:t xml:space="preserve"> considered several control strategies for the control of NO</w:t>
      </w:r>
      <w:r w:rsidR="00C74FE4">
        <w:rPr>
          <w:vertAlign w:val="subscript"/>
        </w:rPr>
        <w:t>x</w:t>
      </w:r>
      <w:r w:rsidR="00C74FE4">
        <w:t xml:space="preserve"> including Selective Catalytic Reduction (SCR), Selective Non-Catalytic Reduction (SNCR),</w:t>
      </w:r>
      <w:r w:rsidR="00885E26">
        <w:t xml:space="preserve"> </w:t>
      </w:r>
      <w:r w:rsidR="00C74FE4">
        <w:t xml:space="preserve">flue gas recirculation (FGR), </w:t>
      </w:r>
      <w:r w:rsidR="00C74FE4" w:rsidRPr="00116DE4">
        <w:t>low-NO</w:t>
      </w:r>
      <w:r w:rsidR="00C74FE4" w:rsidRPr="00116DE4">
        <w:rPr>
          <w:vertAlign w:val="subscript"/>
        </w:rPr>
        <w:t>x</w:t>
      </w:r>
      <w:r w:rsidR="00C74FE4" w:rsidRPr="00116DE4">
        <w:t xml:space="preserve"> burners,</w:t>
      </w:r>
      <w:r w:rsidR="00C74FE4">
        <w:t xml:space="preserve"> and use of oxygen trim systems.</w:t>
      </w:r>
    </w:p>
    <w:p w14:paraId="4C48AA73" w14:textId="77777777" w:rsidR="00C74FE4" w:rsidRDefault="00C74FE4" w:rsidP="00C74FE4">
      <w:pPr>
        <w:tabs>
          <w:tab w:val="left" w:pos="720"/>
        </w:tabs>
        <w:ind w:left="1440"/>
      </w:pPr>
    </w:p>
    <w:p w14:paraId="1ABFED33" w14:textId="0DE1ECC0" w:rsidR="00C74FE4" w:rsidRDefault="00C74FE4" w:rsidP="00C74FE4">
      <w:pPr>
        <w:tabs>
          <w:tab w:val="left" w:pos="720"/>
        </w:tabs>
        <w:ind w:left="1440"/>
      </w:pPr>
      <w:r>
        <w:lastRenderedPageBreak/>
        <w:t>Both SCR and SNCR are technically feasible control technologies for minimizing NO</w:t>
      </w:r>
      <w:r>
        <w:rPr>
          <w:vertAlign w:val="subscript"/>
        </w:rPr>
        <w:t>x</w:t>
      </w:r>
      <w:r>
        <w:t xml:space="preserve">. Both methods include injection of </w:t>
      </w:r>
      <w:proofErr w:type="gramStart"/>
      <w:r>
        <w:t>a NO</w:t>
      </w:r>
      <w:r w:rsidRPr="00876EBD">
        <w:rPr>
          <w:vertAlign w:val="subscript"/>
        </w:rPr>
        <w:t>x</w:t>
      </w:r>
      <w:proofErr w:type="gramEnd"/>
      <w:r>
        <w:t xml:space="preserve"> reducing agent, typically ammonia or urea, into the boiler combustion gases, where the reagent reacts with NO</w:t>
      </w:r>
      <w:r w:rsidRPr="00876EBD">
        <w:rPr>
          <w:vertAlign w:val="subscript"/>
        </w:rPr>
        <w:t>x</w:t>
      </w:r>
      <w:r>
        <w:t xml:space="preserve"> to form nitrogen and water. Each technology is effective within a specific temperature range, </w:t>
      </w:r>
      <w:r w:rsidRPr="000C2FE0">
        <w:t xml:space="preserve">500 </w:t>
      </w:r>
      <w:r>
        <w:t>–</w:t>
      </w:r>
      <w:r w:rsidRPr="000C2FE0">
        <w:t xml:space="preserve"> 1</w:t>
      </w:r>
      <w:r>
        <w:t>,</w:t>
      </w:r>
      <w:r w:rsidRPr="000C2FE0">
        <w:t>200</w:t>
      </w:r>
      <w:r>
        <w:t> </w:t>
      </w:r>
      <w:r w:rsidRPr="000C2FE0">
        <w:t>°F</w:t>
      </w:r>
      <w:r>
        <w:t xml:space="preserve"> for SCR and</w:t>
      </w:r>
      <w:r w:rsidRPr="00685F52">
        <w:t xml:space="preserve"> 1</w:t>
      </w:r>
      <w:r>
        <w:t>,</w:t>
      </w:r>
      <w:r w:rsidRPr="00685F52">
        <w:t>400</w:t>
      </w:r>
      <w:r>
        <w:t xml:space="preserve"> – </w:t>
      </w:r>
      <w:r w:rsidRPr="00685F52">
        <w:t>1</w:t>
      </w:r>
      <w:r>
        <w:t>,</w:t>
      </w:r>
      <w:r w:rsidRPr="00685F52">
        <w:t>600</w:t>
      </w:r>
      <w:r>
        <w:t> </w:t>
      </w:r>
      <w:r w:rsidRPr="00685F52">
        <w:t>°F</w:t>
      </w:r>
      <w:r>
        <w:t xml:space="preserve"> for SNCR.</w:t>
      </w:r>
      <w:r w:rsidRPr="000C2FE0">
        <w:t xml:space="preserve"> </w:t>
      </w:r>
      <w:r>
        <w:t xml:space="preserve">However, both SCR and SNCR have </w:t>
      </w:r>
      <w:proofErr w:type="gramStart"/>
      <w:r>
        <w:t>the</w:t>
      </w:r>
      <w:proofErr w:type="gramEnd"/>
      <w:r>
        <w:t xml:space="preserve"> negative environmental impact of emissions of unreacted ammonia. In addition, due to the initial capital cost and the annual operating costs, these systems are typically only considered cost effective for units larger than </w:t>
      </w:r>
      <w:r w:rsidR="00116DE4">
        <w:t>the Door Shop and Quonset Hut Furnaces</w:t>
      </w:r>
      <w:r>
        <w:t xml:space="preserve">. </w:t>
      </w:r>
    </w:p>
    <w:p w14:paraId="11741C16" w14:textId="77777777" w:rsidR="00C74FE4" w:rsidRDefault="00C74FE4" w:rsidP="00C74FE4">
      <w:pPr>
        <w:tabs>
          <w:tab w:val="left" w:pos="720"/>
        </w:tabs>
        <w:ind w:left="1440"/>
      </w:pPr>
    </w:p>
    <w:p w14:paraId="2E6632F6" w14:textId="46C9199E" w:rsidR="00C74FE4" w:rsidRDefault="00C74FE4" w:rsidP="00C74FE4">
      <w:pPr>
        <w:tabs>
          <w:tab w:val="left" w:pos="720"/>
        </w:tabs>
        <w:ind w:left="1440"/>
      </w:pPr>
      <w:r>
        <w:t xml:space="preserve">FGR </w:t>
      </w:r>
      <w:r w:rsidR="00885E26">
        <w:t>and</w:t>
      </w:r>
      <w:r w:rsidRPr="009F0CDE">
        <w:t xml:space="preserve"> </w:t>
      </w:r>
      <w:r w:rsidRPr="00885E26">
        <w:t>low-NO</w:t>
      </w:r>
      <w:r w:rsidRPr="00885E26">
        <w:rPr>
          <w:vertAlign w:val="subscript"/>
        </w:rPr>
        <w:t>x</w:t>
      </w:r>
      <w:r w:rsidRPr="00885E26">
        <w:t xml:space="preserve"> burners</w:t>
      </w:r>
      <w:r w:rsidR="00885E26">
        <w:t xml:space="preserve"> can attain similar NO</w:t>
      </w:r>
      <w:r w:rsidR="00885E26">
        <w:rPr>
          <w:vertAlign w:val="subscript"/>
        </w:rPr>
        <w:t>x</w:t>
      </w:r>
      <w:r w:rsidR="00885E26">
        <w:t xml:space="preserve"> reduction efficiencies through lowering the flame temperature and thereby reducing thermal NO</w:t>
      </w:r>
      <w:r w:rsidR="00885E26">
        <w:rPr>
          <w:vertAlign w:val="subscript"/>
        </w:rPr>
        <w:t>x</w:t>
      </w:r>
      <w:r w:rsidR="00885E26">
        <w:t xml:space="preserve"> formation. However, FGR and low-NO</w:t>
      </w:r>
      <w:r w:rsidR="00885E26">
        <w:rPr>
          <w:vertAlign w:val="subscript"/>
        </w:rPr>
        <w:t>x</w:t>
      </w:r>
      <w:r w:rsidR="00885E26">
        <w:t xml:space="preserve"> burners reduce the units’ fuel efficiency and are therefore economically infeasible.</w:t>
      </w:r>
    </w:p>
    <w:p w14:paraId="17DB0986" w14:textId="77777777" w:rsidR="00885E26" w:rsidRDefault="00885E26" w:rsidP="00C74FE4">
      <w:pPr>
        <w:tabs>
          <w:tab w:val="left" w:pos="720"/>
        </w:tabs>
        <w:ind w:left="1440"/>
      </w:pPr>
    </w:p>
    <w:p w14:paraId="7A19D6E9" w14:textId="4C4451CC" w:rsidR="00885E26" w:rsidRPr="00885E26" w:rsidRDefault="00885E26" w:rsidP="00C74FE4">
      <w:pPr>
        <w:tabs>
          <w:tab w:val="left" w:pos="720"/>
        </w:tabs>
        <w:ind w:left="1440"/>
      </w:pPr>
      <w:r>
        <w:t>An oxygen trim system is not available for these units and is therefore considered technically infeasible.</w:t>
      </w:r>
    </w:p>
    <w:p w14:paraId="21BDDF56" w14:textId="77777777" w:rsidR="00C74FE4" w:rsidRDefault="00C74FE4" w:rsidP="00C74FE4">
      <w:pPr>
        <w:tabs>
          <w:tab w:val="left" w:pos="720"/>
        </w:tabs>
        <w:ind w:left="1440"/>
      </w:pPr>
    </w:p>
    <w:p w14:paraId="0C2DA32A" w14:textId="4AC89DC4" w:rsidR="00C74FE4" w:rsidRDefault="00C74FE4" w:rsidP="00C74FE4">
      <w:pPr>
        <w:tabs>
          <w:tab w:val="left" w:pos="720"/>
        </w:tabs>
        <w:ind w:left="1440"/>
      </w:pPr>
      <w:r>
        <w:t>BACT for NO</w:t>
      </w:r>
      <w:r>
        <w:rPr>
          <w:vertAlign w:val="subscript"/>
        </w:rPr>
        <w:t>x</w:t>
      </w:r>
      <w:r>
        <w:t xml:space="preserve"> emissions from </w:t>
      </w:r>
      <w:r w:rsidR="00885E26">
        <w:t>the Door Shop and Quonset Hut Furnaces</w:t>
      </w:r>
      <w:r>
        <w:t xml:space="preserve"> is the use of</w:t>
      </w:r>
      <w:r w:rsidR="00885E26">
        <w:t xml:space="preserve"> good combustion practices and </w:t>
      </w:r>
      <w:r>
        <w:t>the emission limits listed in the tables below.</w:t>
      </w:r>
    </w:p>
    <w:p w14:paraId="4DD92938" w14:textId="77777777" w:rsidR="00C74FE4" w:rsidRDefault="00C74FE4" w:rsidP="00C74FE4">
      <w:pPr>
        <w:tabs>
          <w:tab w:val="left" w:pos="720"/>
        </w:tabs>
        <w:ind w:left="1080"/>
      </w:pPr>
    </w:p>
    <w:p w14:paraId="1F0F3492" w14:textId="77777777" w:rsidR="00C74FE4" w:rsidRPr="0074481B" w:rsidRDefault="00C74FE4" w:rsidP="00C74FE4">
      <w:pPr>
        <w:pStyle w:val="Heading5"/>
      </w:pPr>
      <w:r w:rsidRPr="0074481B">
        <w:t>Carbon Monoxide</w:t>
      </w:r>
      <w:r>
        <w:t xml:space="preserve"> (CO)</w:t>
      </w:r>
      <w:r w:rsidRPr="0074481B">
        <w:t xml:space="preserve"> and Volatile Organic Compounds</w:t>
      </w:r>
      <w:r>
        <w:t xml:space="preserve"> (VOC)</w:t>
      </w:r>
    </w:p>
    <w:p w14:paraId="256075BF" w14:textId="092BDBCF" w:rsidR="00C74FE4" w:rsidRDefault="00885E26" w:rsidP="00C74FE4">
      <w:pPr>
        <w:tabs>
          <w:tab w:val="left" w:pos="720"/>
        </w:tabs>
        <w:ind w:left="1440"/>
      </w:pPr>
      <w:r w:rsidRPr="00885E26">
        <w:t>BIW</w:t>
      </w:r>
      <w:r w:rsidR="00C74FE4" w:rsidRPr="003B3613">
        <w:t xml:space="preserve"> </w:t>
      </w:r>
      <w:r w:rsidR="00C74FE4">
        <w:t>considered several control strategies for the control of CO and VOC including oxidation catalysts, thermal oxidizers, and use of an oxygen trim system.</w:t>
      </w:r>
    </w:p>
    <w:p w14:paraId="0091D66A" w14:textId="77777777" w:rsidR="00C74FE4" w:rsidRDefault="00C74FE4" w:rsidP="00C74FE4">
      <w:pPr>
        <w:tabs>
          <w:tab w:val="left" w:pos="720"/>
        </w:tabs>
        <w:ind w:left="1440"/>
      </w:pPr>
    </w:p>
    <w:p w14:paraId="75DB528F" w14:textId="77777777" w:rsidR="00C74FE4" w:rsidRDefault="00C74FE4" w:rsidP="00C74FE4">
      <w:pPr>
        <w:tabs>
          <w:tab w:val="left" w:pos="720"/>
        </w:tabs>
        <w:ind w:left="1440"/>
      </w:pPr>
      <w:r>
        <w:t xml:space="preserve">Oxidation catalysts and thermal oxidizers both have high capital, maintenance, and operational costs considering the size of the boiler in question. These controls were determined to be economically infeasible. </w:t>
      </w:r>
    </w:p>
    <w:p w14:paraId="79FB1EAD" w14:textId="77777777" w:rsidR="00C74FE4" w:rsidRDefault="00C74FE4" w:rsidP="00C74FE4">
      <w:pPr>
        <w:tabs>
          <w:tab w:val="left" w:pos="720"/>
        </w:tabs>
        <w:ind w:left="1440"/>
      </w:pPr>
    </w:p>
    <w:p w14:paraId="591B903D" w14:textId="77777777" w:rsidR="00885E26" w:rsidRPr="00885E26" w:rsidRDefault="00885E26" w:rsidP="00885E26">
      <w:pPr>
        <w:tabs>
          <w:tab w:val="left" w:pos="720"/>
        </w:tabs>
        <w:ind w:left="1440"/>
      </w:pPr>
      <w:r>
        <w:t>An oxygen trim system is not available for these units and is therefore considered technically infeasible.</w:t>
      </w:r>
    </w:p>
    <w:p w14:paraId="48DA57B3" w14:textId="77777777" w:rsidR="00C74FE4" w:rsidRDefault="00C74FE4" w:rsidP="00C74FE4">
      <w:pPr>
        <w:tabs>
          <w:tab w:val="left" w:pos="720"/>
        </w:tabs>
        <w:ind w:left="1440"/>
      </w:pPr>
    </w:p>
    <w:p w14:paraId="7B634457" w14:textId="2B05EC18" w:rsidR="00C74FE4" w:rsidRDefault="00C74FE4" w:rsidP="00C74FE4">
      <w:pPr>
        <w:tabs>
          <w:tab w:val="left" w:pos="720"/>
        </w:tabs>
        <w:ind w:left="1440"/>
      </w:pPr>
      <w:r>
        <w:t xml:space="preserve">BACT for CO and VOC emissions from </w:t>
      </w:r>
      <w:r w:rsidR="00885E26">
        <w:t>the Door Shop and Quonset Hut Furnaces</w:t>
      </w:r>
      <w:r>
        <w:rPr>
          <w:b/>
          <w:i/>
        </w:rPr>
        <w:t xml:space="preserve"> </w:t>
      </w:r>
      <w:r>
        <w:t xml:space="preserve">is the use of </w:t>
      </w:r>
      <w:r w:rsidR="00885E26">
        <w:t>good combustion practices</w:t>
      </w:r>
      <w:r>
        <w:t xml:space="preserve"> and the emission limits listed in the tables below.</w:t>
      </w:r>
    </w:p>
    <w:p w14:paraId="2A41C766" w14:textId="77777777" w:rsidR="00C74FE4" w:rsidRDefault="00C74FE4" w:rsidP="00C74FE4">
      <w:pPr>
        <w:rPr>
          <w:u w:val="single"/>
        </w:rPr>
      </w:pPr>
    </w:p>
    <w:p w14:paraId="388B6F65" w14:textId="77777777" w:rsidR="00C74FE4" w:rsidRPr="0074481B" w:rsidRDefault="00C74FE4" w:rsidP="00C74FE4">
      <w:pPr>
        <w:pStyle w:val="Heading5"/>
      </w:pPr>
      <w:r w:rsidRPr="0074481B">
        <w:t>Emission Limits</w:t>
      </w:r>
    </w:p>
    <w:p w14:paraId="583D3947" w14:textId="56F980F7" w:rsidR="00C74FE4" w:rsidRDefault="00C74FE4" w:rsidP="00C74FE4">
      <w:pPr>
        <w:tabs>
          <w:tab w:val="left" w:pos="720"/>
        </w:tabs>
        <w:ind w:left="1440"/>
      </w:pPr>
      <w:r w:rsidRPr="000F4332">
        <w:t xml:space="preserve">The </w:t>
      </w:r>
      <w:r>
        <w:t xml:space="preserve">BACT </w:t>
      </w:r>
      <w:r w:rsidRPr="000F4332">
        <w:t xml:space="preserve">emission limits for </w:t>
      </w:r>
      <w:r w:rsidR="00885E26">
        <w:t xml:space="preserve">the Door Shop and Quonset Hut Furnaces </w:t>
      </w:r>
      <w:r w:rsidRPr="000F4332">
        <w:t>w</w:t>
      </w:r>
      <w:r>
        <w:t>ere</w:t>
      </w:r>
      <w:r w:rsidRPr="000F4332">
        <w:t xml:space="preserve"> based on the following:</w:t>
      </w:r>
    </w:p>
    <w:p w14:paraId="3FCB2C7D" w14:textId="77777777" w:rsidR="00C74FE4" w:rsidRDefault="00C74FE4" w:rsidP="00C74FE4">
      <w:pPr>
        <w:tabs>
          <w:tab w:val="left" w:pos="720"/>
        </w:tabs>
        <w:ind w:left="1440"/>
      </w:pPr>
    </w:p>
    <w:p w14:paraId="6346730D" w14:textId="77777777" w:rsidR="00C74FE4" w:rsidRPr="00425361" w:rsidRDefault="00C74FE4" w:rsidP="00C74FE4">
      <w:pPr>
        <w:tabs>
          <w:tab w:val="left" w:pos="720"/>
          <w:tab w:val="left" w:pos="1080"/>
        </w:tabs>
        <w:ind w:left="2160" w:hanging="720"/>
        <w:rPr>
          <w:u w:val="single"/>
        </w:rPr>
      </w:pPr>
      <w:r>
        <w:rPr>
          <w:u w:val="single"/>
        </w:rPr>
        <w:t>Natural Gas</w:t>
      </w:r>
    </w:p>
    <w:p w14:paraId="68D2F580" w14:textId="742C2DEA" w:rsidR="00C74FE4" w:rsidRPr="00952485" w:rsidRDefault="00C74FE4" w:rsidP="00C74FE4">
      <w:pPr>
        <w:tabs>
          <w:tab w:val="left" w:pos="3240"/>
          <w:tab w:val="left" w:pos="3600"/>
        </w:tabs>
        <w:ind w:left="3600" w:hanging="2160"/>
      </w:pPr>
      <w:r w:rsidRPr="00952485">
        <w:t>PM</w:t>
      </w:r>
      <w:r w:rsidR="00B976B0">
        <w:t>/PM</w:t>
      </w:r>
      <w:r w:rsidR="00B976B0">
        <w:rPr>
          <w:vertAlign w:val="subscript"/>
        </w:rPr>
        <w:t>10</w:t>
      </w:r>
      <w:r w:rsidR="00B976B0">
        <w:t>/PM</w:t>
      </w:r>
      <w:r w:rsidR="00B976B0">
        <w:rPr>
          <w:vertAlign w:val="subscript"/>
        </w:rPr>
        <w:t>2.5</w:t>
      </w:r>
      <w:r w:rsidRPr="00952485">
        <w:tab/>
        <w:t>–</w:t>
      </w:r>
      <w:r w:rsidRPr="00952485">
        <w:tab/>
      </w:r>
      <w:r w:rsidRPr="00144CFF">
        <w:t xml:space="preserve">0.05 </w:t>
      </w:r>
      <w:proofErr w:type="spellStart"/>
      <w:r w:rsidRPr="00144CFF">
        <w:t>lb</w:t>
      </w:r>
      <w:proofErr w:type="spellEnd"/>
      <w:r w:rsidRPr="00144CFF">
        <w:t>/MMBtu</w:t>
      </w:r>
      <w:r w:rsidR="000C3278">
        <w:t>,</w:t>
      </w:r>
      <w:r w:rsidRPr="00144CFF">
        <w:t xml:space="preserve"> 06-096 C.M.R. </w:t>
      </w:r>
      <w:proofErr w:type="spellStart"/>
      <w:r w:rsidRPr="00144CFF">
        <w:t>ch.</w:t>
      </w:r>
      <w:proofErr w:type="spellEnd"/>
      <w:r w:rsidRPr="00144CFF">
        <w:t xml:space="preserve"> 115, BACT</w:t>
      </w:r>
      <w:r w:rsidRPr="00952485">
        <w:t xml:space="preserve"> </w:t>
      </w:r>
    </w:p>
    <w:p w14:paraId="13A30467" w14:textId="77777777" w:rsidR="00C74FE4" w:rsidRDefault="00C74FE4" w:rsidP="00C74FE4">
      <w:pPr>
        <w:tabs>
          <w:tab w:val="left" w:pos="3240"/>
          <w:tab w:val="left" w:pos="3600"/>
        </w:tabs>
        <w:ind w:left="3600" w:hanging="2160"/>
      </w:pPr>
      <w:r w:rsidRPr="00952485">
        <w:t>SO</w:t>
      </w:r>
      <w:r w:rsidRPr="00952485">
        <w:rPr>
          <w:vertAlign w:val="subscript"/>
        </w:rPr>
        <w:t>2</w:t>
      </w:r>
      <w:r w:rsidRPr="00952485">
        <w:tab/>
        <w:t>–</w:t>
      </w:r>
      <w:r w:rsidRPr="00952485">
        <w:tab/>
      </w:r>
      <w:r>
        <w:t xml:space="preserve">0.6 </w:t>
      </w:r>
      <w:proofErr w:type="spellStart"/>
      <w:r>
        <w:t>lb</w:t>
      </w:r>
      <w:proofErr w:type="spellEnd"/>
      <w:r>
        <w:t>/</w:t>
      </w:r>
      <w:proofErr w:type="spellStart"/>
      <w:r>
        <w:t>MMscf</w:t>
      </w:r>
      <w:proofErr w:type="spellEnd"/>
      <w:r>
        <w:t xml:space="preserve"> based on AP-42 Table 1.4-2 dated 7/98</w:t>
      </w:r>
    </w:p>
    <w:p w14:paraId="6FECA08F" w14:textId="77777777" w:rsidR="00C74FE4" w:rsidRDefault="00C74FE4" w:rsidP="00C74FE4">
      <w:pPr>
        <w:tabs>
          <w:tab w:val="left" w:pos="3240"/>
          <w:tab w:val="left" w:pos="3600"/>
        </w:tabs>
        <w:ind w:left="3600" w:hanging="2160"/>
      </w:pPr>
      <w:r>
        <w:t>NO</w:t>
      </w:r>
      <w:r>
        <w:rPr>
          <w:vertAlign w:val="subscript"/>
        </w:rPr>
        <w:t>x</w:t>
      </w:r>
      <w:r>
        <w:tab/>
        <w:t>–</w:t>
      </w:r>
      <w:r>
        <w:tab/>
        <w:t xml:space="preserve">100 </w:t>
      </w:r>
      <w:proofErr w:type="spellStart"/>
      <w:r>
        <w:t>lb</w:t>
      </w:r>
      <w:proofErr w:type="spellEnd"/>
      <w:r>
        <w:t>/</w:t>
      </w:r>
      <w:proofErr w:type="spellStart"/>
      <w:r>
        <w:t>MMscf</w:t>
      </w:r>
      <w:proofErr w:type="spellEnd"/>
      <w:r>
        <w:t xml:space="preserve"> based on AP-42 Table 1.4-1 dated 7/98</w:t>
      </w:r>
    </w:p>
    <w:p w14:paraId="63D87E8C" w14:textId="77777777" w:rsidR="00C74FE4" w:rsidRDefault="00C74FE4" w:rsidP="00C74FE4">
      <w:pPr>
        <w:tabs>
          <w:tab w:val="left" w:pos="3240"/>
          <w:tab w:val="left" w:pos="3600"/>
        </w:tabs>
        <w:ind w:left="3600" w:hanging="2160"/>
      </w:pPr>
      <w:r>
        <w:lastRenderedPageBreak/>
        <w:t>CO</w:t>
      </w:r>
      <w:r>
        <w:tab/>
        <w:t>–</w:t>
      </w:r>
      <w:r>
        <w:tab/>
        <w:t xml:space="preserve">84 </w:t>
      </w:r>
      <w:proofErr w:type="spellStart"/>
      <w:r>
        <w:t>lb</w:t>
      </w:r>
      <w:proofErr w:type="spellEnd"/>
      <w:r>
        <w:t>/</w:t>
      </w:r>
      <w:proofErr w:type="spellStart"/>
      <w:r>
        <w:t>MMscf</w:t>
      </w:r>
      <w:proofErr w:type="spellEnd"/>
      <w:r>
        <w:t xml:space="preserve"> based on AP-42 Table 1.4-1 dated 7/98</w:t>
      </w:r>
    </w:p>
    <w:p w14:paraId="037BA2CB" w14:textId="77777777" w:rsidR="00C74FE4" w:rsidRDefault="00C74FE4" w:rsidP="00C74FE4">
      <w:pPr>
        <w:tabs>
          <w:tab w:val="left" w:pos="3240"/>
          <w:tab w:val="left" w:pos="3600"/>
        </w:tabs>
        <w:ind w:left="3600" w:hanging="2160"/>
      </w:pPr>
      <w:r>
        <w:t>VOC</w:t>
      </w:r>
      <w:r>
        <w:tab/>
        <w:t>–</w:t>
      </w:r>
      <w:r>
        <w:tab/>
        <w:t xml:space="preserve">5.5 </w:t>
      </w:r>
      <w:proofErr w:type="spellStart"/>
      <w:r>
        <w:t>lb</w:t>
      </w:r>
      <w:proofErr w:type="spellEnd"/>
      <w:r>
        <w:t>/</w:t>
      </w:r>
      <w:proofErr w:type="spellStart"/>
      <w:r>
        <w:t>MMscf</w:t>
      </w:r>
      <w:proofErr w:type="spellEnd"/>
      <w:r>
        <w:t xml:space="preserve"> based on AP-42 Table 1.4-2 dated 7/98</w:t>
      </w:r>
    </w:p>
    <w:p w14:paraId="392108BC" w14:textId="2DF4179A" w:rsidR="00C74FE4" w:rsidRDefault="00C74FE4" w:rsidP="00C74FE4">
      <w:pPr>
        <w:tabs>
          <w:tab w:val="left" w:pos="3240"/>
          <w:tab w:val="left" w:pos="3600"/>
        </w:tabs>
        <w:ind w:left="3600" w:hanging="2160"/>
      </w:pPr>
      <w:r>
        <w:t>Visible Emissions</w:t>
      </w:r>
      <w:r>
        <w:tab/>
        <w:t>–</w:t>
      </w:r>
      <w:r>
        <w:tab/>
        <w:t>06-096 C.M.R. ch. 101</w:t>
      </w:r>
      <w:r>
        <w:tab/>
      </w:r>
    </w:p>
    <w:p w14:paraId="5038A7E5" w14:textId="6C63749E" w:rsidR="000C3278" w:rsidRDefault="000C3278">
      <w:pPr>
        <w:jc w:val="left"/>
      </w:pPr>
    </w:p>
    <w:p w14:paraId="422DEEFF" w14:textId="2C158268" w:rsidR="00C74FE4" w:rsidRDefault="00C74FE4" w:rsidP="00C74FE4">
      <w:pPr>
        <w:tabs>
          <w:tab w:val="left" w:pos="720"/>
        </w:tabs>
        <w:ind w:left="1440"/>
      </w:pPr>
      <w:r>
        <w:t xml:space="preserve">The </w:t>
      </w:r>
      <w:r w:rsidRPr="001F228A">
        <w:t>BACT</w:t>
      </w:r>
      <w:r w:rsidRPr="008F5F2E">
        <w:rPr>
          <w:b/>
          <w:i/>
        </w:rPr>
        <w:t xml:space="preserve"> </w:t>
      </w:r>
      <w:r>
        <w:t>emission limits for</w:t>
      </w:r>
      <w:r w:rsidR="000C3278">
        <w:t xml:space="preserve"> the Door Shop and Quonset Hut Furnaces </w:t>
      </w:r>
      <w:r>
        <w:t>are the following:</w:t>
      </w:r>
      <w:r>
        <w:tab/>
      </w:r>
    </w:p>
    <w:p w14:paraId="77367BAF" w14:textId="77777777" w:rsidR="00C74FE4" w:rsidRDefault="00C74FE4" w:rsidP="00C74FE4">
      <w:pPr>
        <w:tabs>
          <w:tab w:val="left" w:pos="720"/>
        </w:tabs>
      </w:pPr>
    </w:p>
    <w:tbl>
      <w:tblPr>
        <w:tblW w:w="846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160"/>
        <w:gridCol w:w="900"/>
        <w:gridCol w:w="900"/>
        <w:gridCol w:w="900"/>
        <w:gridCol w:w="900"/>
        <w:gridCol w:w="900"/>
        <w:gridCol w:w="900"/>
        <w:gridCol w:w="900"/>
      </w:tblGrid>
      <w:tr w:rsidR="00C74FE4" w14:paraId="2F751EA3" w14:textId="77777777" w:rsidTr="000C3278">
        <w:tc>
          <w:tcPr>
            <w:tcW w:w="2160" w:type="dxa"/>
            <w:shd w:val="clear" w:color="auto" w:fill="D9D9D9" w:themeFill="background1" w:themeFillShade="D9"/>
            <w:vAlign w:val="bottom"/>
          </w:tcPr>
          <w:p w14:paraId="22BFEF39" w14:textId="77777777" w:rsidR="00C74FE4" w:rsidRPr="00606AF4" w:rsidRDefault="00C74FE4" w:rsidP="00DC7303">
            <w:pPr>
              <w:pStyle w:val="Heading3"/>
              <w:numPr>
                <w:ilvl w:val="0"/>
                <w:numId w:val="0"/>
              </w:numPr>
              <w:jc w:val="center"/>
              <w:rPr>
                <w:b/>
                <w:sz w:val="22"/>
                <w:szCs w:val="22"/>
                <w:u w:val="none"/>
              </w:rPr>
            </w:pPr>
            <w:r w:rsidRPr="00606AF4">
              <w:rPr>
                <w:b/>
                <w:sz w:val="22"/>
                <w:szCs w:val="22"/>
                <w:u w:val="none"/>
              </w:rPr>
              <w:t>Unit</w:t>
            </w:r>
          </w:p>
        </w:tc>
        <w:tc>
          <w:tcPr>
            <w:tcW w:w="900" w:type="dxa"/>
            <w:shd w:val="clear" w:color="auto" w:fill="D9D9D9" w:themeFill="background1" w:themeFillShade="D9"/>
            <w:vAlign w:val="bottom"/>
          </w:tcPr>
          <w:p w14:paraId="38491B99"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67B497C5"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162F3C95"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2D33D5B4"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389A2F5C" w14:textId="77777777" w:rsidR="00C74FE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0E17B584"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00" w:type="dxa"/>
            <w:shd w:val="clear" w:color="auto" w:fill="D9D9D9" w:themeFill="background1" w:themeFillShade="D9"/>
            <w:vAlign w:val="bottom"/>
          </w:tcPr>
          <w:p w14:paraId="3E9B3B4E"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643EFB92"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5F4600E1"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1B9CA6B6"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63B447F7"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1639C33F"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00" w:type="dxa"/>
            <w:shd w:val="clear" w:color="auto" w:fill="D9D9D9" w:themeFill="background1" w:themeFillShade="D9"/>
            <w:vAlign w:val="bottom"/>
          </w:tcPr>
          <w:p w14:paraId="41040CAC"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5366F295" w14:textId="77777777" w:rsidR="00C74FE4" w:rsidRPr="00606AF4" w:rsidRDefault="00C74FE4" w:rsidP="00DC7303">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C74FE4" w14:paraId="1D84791B" w14:textId="77777777" w:rsidTr="000C3278">
        <w:tc>
          <w:tcPr>
            <w:tcW w:w="2160" w:type="dxa"/>
            <w:vAlign w:val="center"/>
          </w:tcPr>
          <w:p w14:paraId="1BF946DD" w14:textId="19DB8C0B" w:rsidR="00C74FE4" w:rsidRPr="00752025" w:rsidRDefault="000C3278" w:rsidP="00DC7303">
            <w:pPr>
              <w:tabs>
                <w:tab w:val="left" w:pos="360"/>
                <w:tab w:val="left" w:pos="720"/>
                <w:tab w:val="left" w:pos="1080"/>
                <w:tab w:val="left" w:pos="1440"/>
                <w:tab w:val="left" w:pos="1800"/>
                <w:tab w:val="left" w:pos="2160"/>
                <w:tab w:val="left" w:pos="2520"/>
                <w:tab w:val="left" w:pos="2880"/>
              </w:tabs>
              <w:rPr>
                <w:i/>
                <w:iCs/>
                <w:sz w:val="22"/>
                <w:szCs w:val="22"/>
              </w:rPr>
            </w:pPr>
            <w:r>
              <w:rPr>
                <w:sz w:val="22"/>
                <w:szCs w:val="22"/>
              </w:rPr>
              <w:t>Door Shop Furnace</w:t>
            </w:r>
          </w:p>
        </w:tc>
        <w:tc>
          <w:tcPr>
            <w:tcW w:w="900" w:type="dxa"/>
            <w:vAlign w:val="center"/>
          </w:tcPr>
          <w:p w14:paraId="4520557D" w14:textId="70E8C57A"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0.06</w:t>
            </w:r>
          </w:p>
        </w:tc>
        <w:tc>
          <w:tcPr>
            <w:tcW w:w="900" w:type="dxa"/>
            <w:vAlign w:val="center"/>
          </w:tcPr>
          <w:p w14:paraId="047C8803" w14:textId="218586AF"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691ABE">
              <w:rPr>
                <w:sz w:val="22"/>
                <w:szCs w:val="22"/>
              </w:rPr>
              <w:t>6</w:t>
            </w:r>
          </w:p>
        </w:tc>
        <w:tc>
          <w:tcPr>
            <w:tcW w:w="900" w:type="dxa"/>
            <w:vAlign w:val="center"/>
          </w:tcPr>
          <w:p w14:paraId="387A8846" w14:textId="3D29B758"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691ABE">
              <w:rPr>
                <w:sz w:val="22"/>
                <w:szCs w:val="22"/>
              </w:rPr>
              <w:t>6</w:t>
            </w:r>
          </w:p>
        </w:tc>
        <w:tc>
          <w:tcPr>
            <w:tcW w:w="900" w:type="dxa"/>
            <w:vAlign w:val="center"/>
          </w:tcPr>
          <w:p w14:paraId="4FCAAD36" w14:textId="24E5D943"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00" w:type="dxa"/>
            <w:vAlign w:val="center"/>
          </w:tcPr>
          <w:p w14:paraId="2D63CAE8" w14:textId="23E77C50"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0.12</w:t>
            </w:r>
          </w:p>
        </w:tc>
        <w:tc>
          <w:tcPr>
            <w:tcW w:w="900" w:type="dxa"/>
            <w:vAlign w:val="center"/>
          </w:tcPr>
          <w:p w14:paraId="686BFB66" w14:textId="38F6EF17"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00" w:type="dxa"/>
            <w:vAlign w:val="center"/>
          </w:tcPr>
          <w:p w14:paraId="11985F16" w14:textId="23CBA2EF"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C74FE4" w14:paraId="6BCEC619" w14:textId="77777777" w:rsidTr="000C3278">
        <w:tc>
          <w:tcPr>
            <w:tcW w:w="2160" w:type="dxa"/>
            <w:vAlign w:val="center"/>
          </w:tcPr>
          <w:p w14:paraId="2E57E0C3" w14:textId="1BC26181" w:rsidR="00C74FE4" w:rsidRPr="00752025" w:rsidRDefault="000C3278" w:rsidP="00DC7303">
            <w:pPr>
              <w:tabs>
                <w:tab w:val="left" w:pos="360"/>
                <w:tab w:val="left" w:pos="720"/>
                <w:tab w:val="left" w:pos="1080"/>
                <w:tab w:val="left" w:pos="1440"/>
                <w:tab w:val="left" w:pos="1800"/>
                <w:tab w:val="left" w:pos="2160"/>
                <w:tab w:val="left" w:pos="2520"/>
                <w:tab w:val="left" w:pos="2880"/>
              </w:tabs>
              <w:rPr>
                <w:i/>
                <w:iCs/>
                <w:sz w:val="22"/>
                <w:szCs w:val="22"/>
              </w:rPr>
            </w:pPr>
            <w:r>
              <w:rPr>
                <w:sz w:val="22"/>
                <w:szCs w:val="22"/>
              </w:rPr>
              <w:t>Quonset Hut Furnace</w:t>
            </w:r>
          </w:p>
        </w:tc>
        <w:tc>
          <w:tcPr>
            <w:tcW w:w="900" w:type="dxa"/>
            <w:vAlign w:val="center"/>
          </w:tcPr>
          <w:p w14:paraId="7C565E98" w14:textId="79282076"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0.06</w:t>
            </w:r>
          </w:p>
        </w:tc>
        <w:tc>
          <w:tcPr>
            <w:tcW w:w="900" w:type="dxa"/>
            <w:vAlign w:val="center"/>
          </w:tcPr>
          <w:p w14:paraId="1877F18B" w14:textId="208C633B"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691ABE">
              <w:rPr>
                <w:sz w:val="22"/>
                <w:szCs w:val="22"/>
              </w:rPr>
              <w:t>6</w:t>
            </w:r>
          </w:p>
        </w:tc>
        <w:tc>
          <w:tcPr>
            <w:tcW w:w="900" w:type="dxa"/>
            <w:vAlign w:val="center"/>
          </w:tcPr>
          <w:p w14:paraId="4C7A32F1" w14:textId="38089433"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691ABE">
              <w:rPr>
                <w:sz w:val="22"/>
                <w:szCs w:val="22"/>
              </w:rPr>
              <w:t>6</w:t>
            </w:r>
          </w:p>
        </w:tc>
        <w:tc>
          <w:tcPr>
            <w:tcW w:w="900" w:type="dxa"/>
            <w:vAlign w:val="center"/>
          </w:tcPr>
          <w:p w14:paraId="07013267" w14:textId="20CCB56F"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00" w:type="dxa"/>
            <w:vAlign w:val="center"/>
          </w:tcPr>
          <w:p w14:paraId="53F74DA4" w14:textId="2C897289"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0.12</w:t>
            </w:r>
          </w:p>
        </w:tc>
        <w:tc>
          <w:tcPr>
            <w:tcW w:w="900" w:type="dxa"/>
            <w:vAlign w:val="center"/>
          </w:tcPr>
          <w:p w14:paraId="516A7D92" w14:textId="70BCEB78"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00" w:type="dxa"/>
            <w:vAlign w:val="center"/>
          </w:tcPr>
          <w:p w14:paraId="7D602094" w14:textId="50487A55" w:rsidR="00C74FE4" w:rsidRPr="00606AF4" w:rsidRDefault="000C3278" w:rsidP="00DC730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bl>
    <w:p w14:paraId="7270ADE3" w14:textId="77777777" w:rsidR="00C74FE4" w:rsidRDefault="00C74FE4" w:rsidP="00C74FE4">
      <w:pPr>
        <w:jc w:val="left"/>
      </w:pPr>
    </w:p>
    <w:p w14:paraId="67CBCFE1" w14:textId="77777777" w:rsidR="00C74FE4" w:rsidRDefault="00C74FE4" w:rsidP="00C74FE4">
      <w:pPr>
        <w:pStyle w:val="Heading4"/>
      </w:pPr>
      <w:r>
        <w:t>Visible Emissions</w:t>
      </w:r>
    </w:p>
    <w:p w14:paraId="10F2D2AB" w14:textId="77777777" w:rsidR="00C74FE4" w:rsidRPr="0092745C" w:rsidRDefault="00C74FE4" w:rsidP="00C74FE4">
      <w:pPr>
        <w:jc w:val="left"/>
      </w:pPr>
    </w:p>
    <w:p w14:paraId="1442077F" w14:textId="487DA6D3" w:rsidR="00C74FE4" w:rsidRPr="0092745C" w:rsidRDefault="00C74FE4" w:rsidP="00C74FE4">
      <w:pPr>
        <w:pStyle w:val="BodyTextIndent3"/>
        <w:tabs>
          <w:tab w:val="left" w:pos="1080"/>
          <w:tab w:val="left" w:pos="1440"/>
          <w:tab w:val="left" w:pos="1800"/>
        </w:tabs>
        <w:spacing w:after="0"/>
        <w:ind w:left="1080"/>
        <w:rPr>
          <w:sz w:val="24"/>
          <w:szCs w:val="24"/>
        </w:rPr>
      </w:pPr>
      <w:r w:rsidRPr="0092745C">
        <w:rPr>
          <w:sz w:val="24"/>
          <w:szCs w:val="24"/>
        </w:rPr>
        <w:t xml:space="preserve">Visible emissions from the </w:t>
      </w:r>
      <w:r w:rsidR="000C3278">
        <w:rPr>
          <w:sz w:val="24"/>
          <w:szCs w:val="24"/>
        </w:rPr>
        <w:t>Door Shop and Quonset Hut Furnaces</w:t>
      </w:r>
      <w:r w:rsidRPr="0092745C">
        <w:rPr>
          <w:sz w:val="24"/>
          <w:szCs w:val="24"/>
        </w:rPr>
        <w:t xml:space="preserve"> shall</w:t>
      </w:r>
      <w:r w:rsidR="00691ABE">
        <w:rPr>
          <w:sz w:val="24"/>
          <w:szCs w:val="24"/>
        </w:rPr>
        <w:t xml:space="preserve"> each</w:t>
      </w:r>
      <w:r w:rsidRPr="0092745C">
        <w:rPr>
          <w:sz w:val="24"/>
          <w:szCs w:val="24"/>
        </w:rPr>
        <w:t xml:space="preserve"> not exceed 10%</w:t>
      </w:r>
      <w:r w:rsidR="000C3278">
        <w:rPr>
          <w:sz w:val="24"/>
          <w:szCs w:val="24"/>
        </w:rPr>
        <w:t> </w:t>
      </w:r>
      <w:r w:rsidRPr="0092745C">
        <w:rPr>
          <w:sz w:val="24"/>
          <w:szCs w:val="24"/>
        </w:rPr>
        <w:t>opacity on a six-minute block average basis.</w:t>
      </w:r>
    </w:p>
    <w:p w14:paraId="44265A52" w14:textId="77777777" w:rsidR="00C74FE4" w:rsidRPr="0092745C" w:rsidRDefault="00C74FE4" w:rsidP="00C74FE4">
      <w:pPr>
        <w:pStyle w:val="BodyTextIndent3"/>
        <w:tabs>
          <w:tab w:val="left" w:pos="1080"/>
          <w:tab w:val="left" w:pos="1440"/>
          <w:tab w:val="left" w:pos="1800"/>
        </w:tabs>
        <w:spacing w:after="0"/>
        <w:ind w:left="1080"/>
        <w:rPr>
          <w:sz w:val="24"/>
          <w:szCs w:val="24"/>
        </w:rPr>
      </w:pPr>
    </w:p>
    <w:p w14:paraId="6FF2A598" w14:textId="77777777" w:rsidR="00C74FE4" w:rsidRDefault="00C74FE4" w:rsidP="00C74FE4">
      <w:pPr>
        <w:pStyle w:val="Heading4"/>
      </w:pPr>
      <w:r>
        <w:t>New Source Performance Standards (NSPS): 40 C.F.R. Part 60, Subpart Dc</w:t>
      </w:r>
    </w:p>
    <w:p w14:paraId="4AC7B007" w14:textId="77777777" w:rsidR="00C74FE4" w:rsidRPr="00B02F5B" w:rsidRDefault="00C74FE4" w:rsidP="00C74FE4">
      <w:pPr>
        <w:jc w:val="left"/>
      </w:pPr>
    </w:p>
    <w:p w14:paraId="640E0F7B" w14:textId="39B952AE" w:rsidR="00C74FE4" w:rsidRPr="00246DC5" w:rsidRDefault="00C74FE4" w:rsidP="000C3278">
      <w:pPr>
        <w:ind w:left="1080"/>
      </w:pPr>
      <w:r w:rsidRPr="00B02F5B">
        <w:t>Due to the</w:t>
      </w:r>
      <w:r w:rsidR="000C3278">
        <w:t xml:space="preserve"> size of the units</w:t>
      </w:r>
      <w:r w:rsidRPr="00B02F5B">
        <w:t>, the</w:t>
      </w:r>
      <w:r w:rsidR="000C3278">
        <w:t xml:space="preserve"> Door Shop and Quonset Hut Furnaces are not</w:t>
      </w:r>
      <w:r w:rsidRPr="00B02F5B">
        <w:t xml:space="preserve"> subject to </w:t>
      </w:r>
      <w:r w:rsidRPr="00B02F5B">
        <w:rPr>
          <w:i/>
        </w:rPr>
        <w:t>Standards of Performance for Small Industrial-Commercial-Institutional Steam Generating Units</w:t>
      </w:r>
      <w:r w:rsidRPr="00B02F5B">
        <w:t xml:space="preserve"> 40 C.F.R. Part 60, Subpart Dc for units greater than 10 MMBtu/</w:t>
      </w:r>
      <w:proofErr w:type="spellStart"/>
      <w:r w:rsidRPr="00B02F5B">
        <w:t>hr</w:t>
      </w:r>
      <w:proofErr w:type="spellEnd"/>
      <w:r w:rsidRPr="00B02F5B">
        <w:t xml:space="preserve"> manufactured after June 9, 1989. [40 C.F.R. § 60.40c]</w:t>
      </w:r>
    </w:p>
    <w:p w14:paraId="0A74D11B" w14:textId="77777777" w:rsidR="00C74FE4" w:rsidRDefault="00C74FE4" w:rsidP="00C74FE4">
      <w:pPr>
        <w:jc w:val="left"/>
      </w:pPr>
    </w:p>
    <w:p w14:paraId="3E86B01B" w14:textId="77777777" w:rsidR="00C74FE4" w:rsidRDefault="00C74FE4" w:rsidP="00C74FE4">
      <w:pPr>
        <w:pStyle w:val="Heading4"/>
      </w:pPr>
      <w:r>
        <w:t xml:space="preserve">National Emission Standards for Hazardous Air Pollutants (NESHAP): </w:t>
      </w:r>
      <w:r w:rsidRPr="00346927">
        <w:t>40</w:t>
      </w:r>
      <w:r>
        <w:t> </w:t>
      </w:r>
      <w:r w:rsidRPr="00346927">
        <w:t>C</w:t>
      </w:r>
      <w:r>
        <w:t>.</w:t>
      </w:r>
      <w:r w:rsidRPr="00346927">
        <w:t>F</w:t>
      </w:r>
      <w:r>
        <w:t>.</w:t>
      </w:r>
      <w:r w:rsidRPr="00346927">
        <w:t>R</w:t>
      </w:r>
      <w:r>
        <w:t>. </w:t>
      </w:r>
      <w:r w:rsidRPr="00346927">
        <w:t>Part</w:t>
      </w:r>
      <w:r>
        <w:t> </w:t>
      </w:r>
      <w:r w:rsidRPr="00346927">
        <w:t>63</w:t>
      </w:r>
      <w:r>
        <w:t>,</w:t>
      </w:r>
      <w:r w:rsidRPr="00346927">
        <w:t xml:space="preserve"> Subpart</w:t>
      </w:r>
      <w:r>
        <w:t xml:space="preserve"> JJJJJJ</w:t>
      </w:r>
    </w:p>
    <w:p w14:paraId="501ED798" w14:textId="77777777" w:rsidR="00C74FE4" w:rsidRDefault="00C74FE4" w:rsidP="00C74FE4">
      <w:pPr>
        <w:jc w:val="left"/>
      </w:pPr>
    </w:p>
    <w:p w14:paraId="59C69B5E" w14:textId="4AEE2654" w:rsidR="00C74FE4" w:rsidRDefault="000C3278" w:rsidP="00C74FE4">
      <w:pPr>
        <w:tabs>
          <w:tab w:val="left" w:pos="1080"/>
        </w:tabs>
        <w:ind w:left="1080"/>
      </w:pPr>
      <w:r>
        <w:t>The Door Shop and Quonset Hut Furnaces are</w:t>
      </w:r>
      <w:r w:rsidR="00C74FE4">
        <w:t xml:space="preserve"> not subject to the </w:t>
      </w:r>
      <w:r w:rsidR="00C74FE4">
        <w:rPr>
          <w:i/>
        </w:rPr>
        <w:t>National Emission Standards for Hazardous Air Pollutants for Industrial, Commercial, and Institutional Boilers Area Sources</w:t>
      </w:r>
      <w:r w:rsidR="00C74FE4">
        <w:t xml:space="preserve">, 40 C.F.R. Part 63, Subpart JJJJJJ. </w:t>
      </w:r>
      <w:r w:rsidR="00C74FE4" w:rsidRPr="000C3278">
        <w:t>Natural gas-fired</w:t>
      </w:r>
      <w:r w:rsidR="00C74FE4">
        <w:t xml:space="preserve"> units are exempt from the requirements of this regulation. [40 C.F.R. §§ 63.11195(e)]</w:t>
      </w:r>
    </w:p>
    <w:p w14:paraId="46D058BB" w14:textId="77777777" w:rsidR="00C74FE4" w:rsidRPr="00752025" w:rsidRDefault="00C74FE4" w:rsidP="00C74FE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pPr>
    </w:p>
    <w:p w14:paraId="4F2F3C08" w14:textId="77777777" w:rsidR="007E3B85" w:rsidRDefault="00CA3CAA" w:rsidP="00CA3CAA">
      <w:pPr>
        <w:pStyle w:val="Heading3"/>
      </w:pPr>
      <w:r>
        <w:t>Emissions Statements</w:t>
      </w:r>
    </w:p>
    <w:p w14:paraId="621EEF39" w14:textId="77777777" w:rsidR="007E3B85" w:rsidRDefault="007E3B85" w:rsidP="006E35A9">
      <w:pPr>
        <w:jc w:val="left"/>
      </w:pPr>
    </w:p>
    <w:p w14:paraId="57CC4242" w14:textId="58995A80" w:rsidR="00CA3CAA" w:rsidRPr="008C6D4C" w:rsidRDefault="0084182A" w:rsidP="00CA3CAA">
      <w:pPr>
        <w:tabs>
          <w:tab w:val="left" w:pos="720"/>
        </w:tabs>
        <w:ind w:left="720"/>
      </w:pPr>
      <w:r>
        <w:t>BIW</w:t>
      </w:r>
      <w:r w:rsidR="00CA3CAA" w:rsidRPr="008C6D4C">
        <w:t xml:space="preserve"> is subject to emissions inventory requirements contained in </w:t>
      </w:r>
      <w:r w:rsidR="00CA3CAA" w:rsidRPr="008C6D4C">
        <w:rPr>
          <w:i/>
        </w:rPr>
        <w:t>Emission Statements</w:t>
      </w:r>
      <w:r w:rsidR="00CA3CAA" w:rsidRPr="008C6D4C">
        <w:t>, 06</w:t>
      </w:r>
      <w:r w:rsidR="00CA3CAA" w:rsidRPr="008C6D4C">
        <w:noBreakHyphen/>
        <w:t xml:space="preserve">096 C.M.R. ch. 137. </w:t>
      </w:r>
      <w:r>
        <w:t>BIW</w:t>
      </w:r>
      <w:r w:rsidR="00CA3CAA" w:rsidRPr="008C6D4C">
        <w:t xml:space="preserve"> shall maintain the following records </w:t>
      </w:r>
      <w:proofErr w:type="gramStart"/>
      <w:r w:rsidR="00CA3CAA" w:rsidRPr="008C6D4C">
        <w:t>in order to</w:t>
      </w:r>
      <w:proofErr w:type="gramEnd"/>
      <w:r w:rsidR="00CA3CAA" w:rsidRPr="008C6D4C">
        <w:t xml:space="preserve"> comply with this rule:</w:t>
      </w:r>
    </w:p>
    <w:p w14:paraId="5216D509" w14:textId="77777777" w:rsidR="00CA3CAA" w:rsidRPr="008C6D4C" w:rsidRDefault="00CA3CAA" w:rsidP="00CA3CAA">
      <w:pPr>
        <w:tabs>
          <w:tab w:val="left" w:pos="720"/>
          <w:tab w:val="left" w:pos="1080"/>
        </w:tabs>
        <w:ind w:left="1080"/>
      </w:pPr>
    </w:p>
    <w:p w14:paraId="50F7AC29" w14:textId="73CA7BC6" w:rsidR="00CA3CAA" w:rsidRPr="00DC7CF1" w:rsidRDefault="00CA3CAA" w:rsidP="00CA3CAA">
      <w:pPr>
        <w:pStyle w:val="ListParagraph"/>
        <w:numPr>
          <w:ilvl w:val="0"/>
          <w:numId w:val="68"/>
        </w:numPr>
        <w:tabs>
          <w:tab w:val="left" w:pos="720"/>
          <w:tab w:val="left" w:pos="1080"/>
        </w:tabs>
      </w:pPr>
      <w:r w:rsidRPr="00DC7CF1">
        <w:t xml:space="preserve">The amount of distillate fuel fired in </w:t>
      </w:r>
      <w:r w:rsidR="002B5DB8">
        <w:t>Boiler #8 and SFAB Heat Treat Furnace</w:t>
      </w:r>
      <w:r w:rsidRPr="00DC7CF1">
        <w:t xml:space="preserve"> (each) on a monthly </w:t>
      </w:r>
      <w:proofErr w:type="gramStart"/>
      <w:r w:rsidRPr="00DC7CF1">
        <w:t>basis;</w:t>
      </w:r>
      <w:proofErr w:type="gramEnd"/>
    </w:p>
    <w:p w14:paraId="03BF49C4" w14:textId="687B6AE1" w:rsidR="00CA3CAA" w:rsidRPr="00DC7CF1" w:rsidRDefault="00CA3CAA" w:rsidP="00CA3CAA">
      <w:pPr>
        <w:pStyle w:val="ListParagraph"/>
        <w:numPr>
          <w:ilvl w:val="0"/>
          <w:numId w:val="68"/>
        </w:numPr>
        <w:tabs>
          <w:tab w:val="left" w:pos="720"/>
          <w:tab w:val="left" w:pos="1080"/>
        </w:tabs>
      </w:pPr>
      <w:r w:rsidRPr="00DC7CF1">
        <w:t xml:space="preserve">The sulfur content of the distillate fuel fired in </w:t>
      </w:r>
      <w:r w:rsidR="002B5DB8">
        <w:t xml:space="preserve">Boiler #8 and SFAB Heat Treat </w:t>
      </w:r>
      <w:proofErr w:type="gramStart"/>
      <w:r w:rsidR="002B5DB8">
        <w:t>Furnace</w:t>
      </w:r>
      <w:r w:rsidRPr="00DC7CF1">
        <w:t>;</w:t>
      </w:r>
      <w:proofErr w:type="gramEnd"/>
    </w:p>
    <w:p w14:paraId="5C7D913C" w14:textId="23F72366" w:rsidR="00CA3CAA" w:rsidRPr="00DC7CF1" w:rsidRDefault="002B5DB8" w:rsidP="00CA3CAA">
      <w:pPr>
        <w:pStyle w:val="ListParagraph"/>
        <w:numPr>
          <w:ilvl w:val="0"/>
          <w:numId w:val="68"/>
        </w:numPr>
        <w:tabs>
          <w:tab w:val="left" w:pos="720"/>
          <w:tab w:val="left" w:pos="1080"/>
        </w:tabs>
      </w:pPr>
      <w:r>
        <w:t>The amount of natural gas fired in Boilers #3, #7, and #8, Steam Boiler #1, AH-1, AH</w:t>
      </w:r>
      <w:r>
        <w:noBreakHyphen/>
        <w:t xml:space="preserve">2, the Door Shop and Quonset Hut Furnaces, the SFAB Preheat Ovens #1 and #2, the </w:t>
      </w:r>
      <w:r>
        <w:lastRenderedPageBreak/>
        <w:t>SFAB Drying Oven, the PC Cure Oven, the PC Batch Oven, and the OFAB Makeup Air Units #1 and #2 (each) on a monthly basis;</w:t>
      </w:r>
    </w:p>
    <w:p w14:paraId="58398B01" w14:textId="0E82B423" w:rsidR="00CA3CAA" w:rsidRPr="008C6D4C" w:rsidRDefault="00CA3CAA" w:rsidP="00CA3CAA">
      <w:pPr>
        <w:pStyle w:val="ListParagraph"/>
        <w:numPr>
          <w:ilvl w:val="0"/>
          <w:numId w:val="68"/>
        </w:numPr>
        <w:tabs>
          <w:tab w:val="left" w:pos="720"/>
          <w:tab w:val="left" w:pos="1080"/>
        </w:tabs>
      </w:pPr>
      <w:r w:rsidRPr="00DC7CF1">
        <w:t>Calculations of the VOC and/or HAP emissions from the</w:t>
      </w:r>
      <w:r w:rsidRPr="007863A6">
        <w:rPr>
          <w:bCs/>
          <w:iCs/>
        </w:rPr>
        <w:t xml:space="preserve"> VOC/HAP emitting process, </w:t>
      </w:r>
      <w:r w:rsidR="002B5DB8" w:rsidRPr="007863A6">
        <w:rPr>
          <w:bCs/>
          <w:iCs/>
        </w:rPr>
        <w:t>including</w:t>
      </w:r>
      <w:r w:rsidRPr="007863A6">
        <w:rPr>
          <w:bCs/>
          <w:iCs/>
        </w:rPr>
        <w:t xml:space="preserve"> paint booths</w:t>
      </w:r>
      <w:r w:rsidR="002B5DB8" w:rsidRPr="007863A6">
        <w:rPr>
          <w:bCs/>
          <w:iCs/>
        </w:rPr>
        <w:t>, welding, machining, blasting, solvents/thinners</w:t>
      </w:r>
      <w:r w:rsidR="007863A6" w:rsidRPr="007863A6">
        <w:rPr>
          <w:bCs/>
          <w:iCs/>
        </w:rPr>
        <w:t>, e</w:t>
      </w:r>
      <w:r w:rsidR="00691ABE">
        <w:rPr>
          <w:bCs/>
          <w:iCs/>
        </w:rPr>
        <w:t>t</w:t>
      </w:r>
      <w:r w:rsidR="007863A6" w:rsidRPr="007863A6">
        <w:rPr>
          <w:bCs/>
          <w:iCs/>
        </w:rPr>
        <w:t xml:space="preserve">c. </w:t>
      </w:r>
      <w:r w:rsidRPr="00DC7CF1">
        <w:t>on a calendar</w:t>
      </w:r>
      <w:r>
        <w:t xml:space="preserve"> year total basis</w:t>
      </w:r>
      <w:r w:rsidRPr="008C6D4C">
        <w:t>; and</w:t>
      </w:r>
    </w:p>
    <w:p w14:paraId="329687E5" w14:textId="56715399" w:rsidR="00CA3CAA" w:rsidRDefault="00CA3CAA" w:rsidP="00CA3CAA">
      <w:pPr>
        <w:numPr>
          <w:ilvl w:val="0"/>
          <w:numId w:val="68"/>
        </w:numPr>
        <w:contextualSpacing/>
      </w:pPr>
      <w:r>
        <w:t xml:space="preserve">Hours each emission unit was </w:t>
      </w:r>
      <w:r w:rsidRPr="007863A6">
        <w:t>active or</w:t>
      </w:r>
      <w:r>
        <w:t xml:space="preserve"> </w:t>
      </w:r>
      <w:proofErr w:type="gramStart"/>
      <w:r>
        <w:t>operating</w:t>
      </w:r>
      <w:proofErr w:type="gramEnd"/>
      <w:r>
        <w:t xml:space="preserve"> </w:t>
      </w:r>
      <w:proofErr w:type="gramStart"/>
      <w:r>
        <w:t>on a monthly basis</w:t>
      </w:r>
      <w:proofErr w:type="gramEnd"/>
      <w:r>
        <w:t xml:space="preserve">. </w:t>
      </w:r>
    </w:p>
    <w:p w14:paraId="0D9BCC06" w14:textId="77777777" w:rsidR="00CA3CAA" w:rsidRPr="008C6D4C" w:rsidRDefault="00CA3CAA" w:rsidP="00CA3CAA">
      <w:pPr>
        <w:tabs>
          <w:tab w:val="left" w:pos="720"/>
          <w:tab w:val="left" w:pos="1080"/>
        </w:tabs>
        <w:ind w:left="720"/>
        <w:rPr>
          <w:b/>
          <w:i/>
        </w:rPr>
      </w:pPr>
    </w:p>
    <w:p w14:paraId="2CEEAF23" w14:textId="175C50DE" w:rsidR="00CA3CAA" w:rsidRPr="0035165A" w:rsidRDefault="00CA3CAA" w:rsidP="00CA3CAA">
      <w:pPr>
        <w:pStyle w:val="Header"/>
        <w:ind w:left="720"/>
      </w:pPr>
      <w:r w:rsidRPr="0035165A">
        <w:t xml:space="preserve">Every third year, or as requested by the Department, </w:t>
      </w:r>
      <w:r w:rsidR="007863A6">
        <w:t>BIW</w:t>
      </w:r>
      <w:r w:rsidRPr="0035165A">
        <w:t xml:space="preserve"> shall report to the Department emissions of hazardous air pollutants as required </w:t>
      </w:r>
      <w:r>
        <w:t>pursuant to</w:t>
      </w:r>
      <w:r w:rsidRPr="0035165A">
        <w:t xml:space="preserve"> 06-096 C.M.R. ch. 137, §</w:t>
      </w:r>
      <w:r>
        <w:t> </w:t>
      </w:r>
      <w:r w:rsidRPr="0035165A">
        <w:t>(3)(C). The next report is due no later than May 15, 202</w:t>
      </w:r>
      <w:r>
        <w:t>7</w:t>
      </w:r>
      <w:r w:rsidRPr="0035165A">
        <w:t>, for emissions occurring in calendar year 202</w:t>
      </w:r>
      <w:r>
        <w:t>6</w:t>
      </w:r>
      <w:r w:rsidRPr="0035165A">
        <w:t xml:space="preserve">. The Department will use these reports to calculate and invoice for the applicable annual air quality surcharge for the subsequent three billing periods. </w:t>
      </w:r>
      <w:r w:rsidR="007863A6">
        <w:t>BIW</w:t>
      </w:r>
      <w:r w:rsidRPr="0035165A">
        <w:t xml:space="preserve"> shall pay the annual air quality surcharge, calculated by the Department based on these reported emissions of hazardous air pollutants, by the date required in Title 38 M.R.S. § 353-</w:t>
      </w:r>
      <w:proofErr w:type="gramStart"/>
      <w:r w:rsidRPr="0035165A">
        <w:t>A(</w:t>
      </w:r>
      <w:proofErr w:type="gramEnd"/>
      <w:r w:rsidRPr="0035165A">
        <w:t xml:space="preserve">3). </w:t>
      </w:r>
    </w:p>
    <w:p w14:paraId="5BC1AAF4" w14:textId="77777777" w:rsidR="00CA3CAA" w:rsidRPr="008C6D4C" w:rsidRDefault="00CA3CAA" w:rsidP="00CA3CAA">
      <w:pPr>
        <w:pStyle w:val="Header"/>
        <w:ind w:left="720"/>
      </w:pPr>
      <w:r w:rsidRPr="008C6D4C">
        <w:t>[38 M.R.S. §</w:t>
      </w:r>
      <w:r>
        <w:t> </w:t>
      </w:r>
      <w:r w:rsidRPr="008C6D4C">
        <w:t>353-A(1-A)]</w:t>
      </w:r>
    </w:p>
    <w:p w14:paraId="2FC8394B" w14:textId="77777777" w:rsidR="007E3B85" w:rsidRDefault="007E3B85" w:rsidP="006E35A9">
      <w:pPr>
        <w:jc w:val="left"/>
      </w:pPr>
    </w:p>
    <w:p w14:paraId="2F4AC63E" w14:textId="77777777" w:rsidR="00CA3CAA" w:rsidRDefault="00CA3CAA" w:rsidP="00CA3CAA">
      <w:pPr>
        <w:pStyle w:val="Heading3"/>
      </w:pPr>
      <w:r>
        <w:t>Annual Emissions</w:t>
      </w:r>
    </w:p>
    <w:p w14:paraId="62A403C0" w14:textId="77777777" w:rsidR="00CA3CAA" w:rsidRDefault="00CA3CAA" w:rsidP="006E35A9">
      <w:pPr>
        <w:jc w:val="left"/>
      </w:pPr>
    </w:p>
    <w:p w14:paraId="7CD277BF" w14:textId="77777777" w:rsidR="00573955" w:rsidRPr="00CA3CAA" w:rsidRDefault="00573955" w:rsidP="00573955">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3148C550" w14:textId="77777777" w:rsidR="00573955" w:rsidRPr="00CA3CAA" w:rsidRDefault="00573955" w:rsidP="00573955">
      <w:pPr>
        <w:pStyle w:val="BodyTextIndent3"/>
        <w:tabs>
          <w:tab w:val="left" w:pos="1080"/>
        </w:tabs>
        <w:spacing w:after="0"/>
        <w:ind w:left="720"/>
        <w:rPr>
          <w:sz w:val="24"/>
          <w:szCs w:val="24"/>
        </w:rPr>
      </w:pPr>
    </w:p>
    <w:p w14:paraId="04F80F5C" w14:textId="485C4E58" w:rsidR="00573955" w:rsidRPr="00CA3CAA" w:rsidRDefault="00573955" w:rsidP="00573955">
      <w:pPr>
        <w:pStyle w:val="BodyTextIndent3"/>
        <w:numPr>
          <w:ilvl w:val="0"/>
          <w:numId w:val="69"/>
        </w:numPr>
        <w:tabs>
          <w:tab w:val="left" w:pos="1080"/>
        </w:tabs>
        <w:spacing w:after="0"/>
        <w:ind w:left="1440"/>
        <w:rPr>
          <w:sz w:val="24"/>
          <w:szCs w:val="24"/>
        </w:rPr>
      </w:pPr>
      <w:r w:rsidRPr="00CA3CAA">
        <w:rPr>
          <w:sz w:val="24"/>
          <w:szCs w:val="24"/>
        </w:rPr>
        <w:t xml:space="preserve">Firing </w:t>
      </w:r>
      <w:r w:rsidR="000303AD">
        <w:rPr>
          <w:sz w:val="24"/>
          <w:szCs w:val="24"/>
        </w:rPr>
        <w:t>475</w:t>
      </w:r>
      <w:r w:rsidRPr="00CA3CAA">
        <w:rPr>
          <w:sz w:val="24"/>
          <w:szCs w:val="24"/>
        </w:rPr>
        <w:t xml:space="preserve">,000 gal/yr distillate fuel in </w:t>
      </w:r>
      <w:r w:rsidR="000303AD">
        <w:rPr>
          <w:sz w:val="24"/>
          <w:szCs w:val="24"/>
        </w:rPr>
        <w:t>B</w:t>
      </w:r>
      <w:r w:rsidRPr="00CA3CAA">
        <w:rPr>
          <w:sz w:val="24"/>
          <w:szCs w:val="24"/>
        </w:rPr>
        <w:t>oiler</w:t>
      </w:r>
      <w:r w:rsidR="000303AD">
        <w:rPr>
          <w:sz w:val="24"/>
          <w:szCs w:val="24"/>
        </w:rPr>
        <w:t xml:space="preserve"> #8 and the SFAB Heat Treat Furnace using the worst-case emission </w:t>
      </w:r>
      <w:proofErr w:type="gramStart"/>
      <w:r w:rsidR="000303AD">
        <w:rPr>
          <w:sz w:val="24"/>
          <w:szCs w:val="24"/>
        </w:rPr>
        <w:t>factors</w:t>
      </w:r>
      <w:r w:rsidRPr="00CA3CAA">
        <w:rPr>
          <w:sz w:val="24"/>
          <w:szCs w:val="24"/>
        </w:rPr>
        <w:t>;</w:t>
      </w:r>
      <w:proofErr w:type="gramEnd"/>
      <w:r w:rsidRPr="00CA3CAA">
        <w:rPr>
          <w:sz w:val="24"/>
          <w:szCs w:val="24"/>
        </w:rPr>
        <w:t xml:space="preserve"> </w:t>
      </w:r>
    </w:p>
    <w:p w14:paraId="45FA04AE" w14:textId="74B64927" w:rsidR="0058323B" w:rsidRDefault="0058323B" w:rsidP="0058323B">
      <w:pPr>
        <w:pStyle w:val="BodyTextIndent3"/>
        <w:numPr>
          <w:ilvl w:val="0"/>
          <w:numId w:val="69"/>
        </w:numPr>
        <w:tabs>
          <w:tab w:val="left" w:pos="1080"/>
        </w:tabs>
        <w:spacing w:after="0"/>
        <w:ind w:left="1440"/>
        <w:rPr>
          <w:sz w:val="24"/>
          <w:szCs w:val="24"/>
        </w:rPr>
      </w:pPr>
      <w:r>
        <w:rPr>
          <w:sz w:val="24"/>
          <w:szCs w:val="24"/>
        </w:rPr>
        <w:t xml:space="preserve">Firing natural gas for </w:t>
      </w:r>
      <w:proofErr w:type="gramStart"/>
      <w:r>
        <w:rPr>
          <w:sz w:val="24"/>
          <w:szCs w:val="24"/>
        </w:rPr>
        <w:t>the</w:t>
      </w:r>
      <w:proofErr w:type="gramEnd"/>
      <w:r>
        <w:rPr>
          <w:sz w:val="24"/>
          <w:szCs w:val="24"/>
        </w:rPr>
        <w:t xml:space="preserve"> balance of 8,760 hours per year</w:t>
      </w:r>
      <w:r w:rsidR="00FD6050">
        <w:rPr>
          <w:sz w:val="24"/>
          <w:szCs w:val="24"/>
        </w:rPr>
        <w:t xml:space="preserve"> in Boiler #8</w:t>
      </w:r>
      <w:r>
        <w:rPr>
          <w:sz w:val="24"/>
          <w:szCs w:val="24"/>
        </w:rPr>
        <w:t xml:space="preserve"> after all distillate fuel has been </w:t>
      </w:r>
      <w:proofErr w:type="gramStart"/>
      <w:r>
        <w:rPr>
          <w:sz w:val="24"/>
          <w:szCs w:val="24"/>
        </w:rPr>
        <w:t>fired;</w:t>
      </w:r>
      <w:proofErr w:type="gramEnd"/>
    </w:p>
    <w:p w14:paraId="7CAD8365" w14:textId="592E128B" w:rsidR="000303AD" w:rsidRPr="0058323B" w:rsidRDefault="000303AD" w:rsidP="0058323B">
      <w:pPr>
        <w:pStyle w:val="BodyTextIndent3"/>
        <w:numPr>
          <w:ilvl w:val="0"/>
          <w:numId w:val="69"/>
        </w:numPr>
        <w:tabs>
          <w:tab w:val="left" w:pos="1080"/>
        </w:tabs>
        <w:spacing w:after="0"/>
        <w:ind w:left="1440"/>
        <w:rPr>
          <w:sz w:val="24"/>
          <w:szCs w:val="24"/>
        </w:rPr>
      </w:pPr>
      <w:r>
        <w:rPr>
          <w:sz w:val="24"/>
          <w:szCs w:val="24"/>
        </w:rPr>
        <w:t>Firing Boilers #3 and #7, Steam Boiler #1, AH-1, AH-2, the SFAB Preheat Ovens #1 and #2, the SFAB Drying Oven, the PC Cure Oven, the PC Batch Oven, the OFAB Makeup Air Units #1 and #2, and the Door Shop and Quonset Hut Furnaces</w:t>
      </w:r>
      <w:r w:rsidR="0058323B">
        <w:rPr>
          <w:sz w:val="24"/>
          <w:szCs w:val="24"/>
        </w:rPr>
        <w:t xml:space="preserve"> </w:t>
      </w:r>
      <w:r>
        <w:rPr>
          <w:sz w:val="24"/>
          <w:szCs w:val="24"/>
        </w:rPr>
        <w:t xml:space="preserve">on natural gas for </w:t>
      </w:r>
      <w:r w:rsidR="0058323B">
        <w:rPr>
          <w:sz w:val="24"/>
          <w:szCs w:val="24"/>
        </w:rPr>
        <w:t xml:space="preserve">8,760 hours per </w:t>
      </w:r>
      <w:proofErr w:type="gramStart"/>
      <w:r w:rsidR="0058323B">
        <w:rPr>
          <w:sz w:val="24"/>
          <w:szCs w:val="24"/>
        </w:rPr>
        <w:t>year</w:t>
      </w:r>
      <w:r>
        <w:rPr>
          <w:sz w:val="24"/>
          <w:szCs w:val="24"/>
        </w:rPr>
        <w:t>;</w:t>
      </w:r>
      <w:proofErr w:type="gramEnd"/>
    </w:p>
    <w:p w14:paraId="1BFEE863" w14:textId="306620FB" w:rsidR="00573955" w:rsidRPr="00CA3CAA" w:rsidRDefault="00573955" w:rsidP="00573955">
      <w:pPr>
        <w:pStyle w:val="BodyTextIndent3"/>
        <w:numPr>
          <w:ilvl w:val="0"/>
          <w:numId w:val="69"/>
        </w:numPr>
        <w:tabs>
          <w:tab w:val="left" w:pos="1080"/>
        </w:tabs>
        <w:spacing w:after="0"/>
        <w:ind w:left="1440"/>
        <w:rPr>
          <w:sz w:val="24"/>
          <w:szCs w:val="24"/>
        </w:rPr>
      </w:pPr>
      <w:r w:rsidRPr="00CA3CAA">
        <w:rPr>
          <w:sz w:val="24"/>
          <w:szCs w:val="24"/>
        </w:rPr>
        <w:t xml:space="preserve">A facility-wide VOC limit of </w:t>
      </w:r>
      <w:r w:rsidR="000303AD">
        <w:rPr>
          <w:sz w:val="24"/>
          <w:szCs w:val="24"/>
        </w:rPr>
        <w:t>46.5</w:t>
      </w:r>
      <w:r w:rsidRPr="00CA3CAA">
        <w:rPr>
          <w:sz w:val="24"/>
          <w:szCs w:val="24"/>
        </w:rPr>
        <w:t xml:space="preserve"> </w:t>
      </w:r>
      <w:proofErr w:type="spellStart"/>
      <w:r w:rsidRPr="00CA3CAA">
        <w:rPr>
          <w:sz w:val="24"/>
          <w:szCs w:val="24"/>
        </w:rPr>
        <w:t>tpy</w:t>
      </w:r>
      <w:proofErr w:type="spellEnd"/>
      <w:r w:rsidR="000303AD">
        <w:rPr>
          <w:sz w:val="24"/>
          <w:szCs w:val="24"/>
        </w:rPr>
        <w:t xml:space="preserve"> for all process equipment</w:t>
      </w:r>
      <w:r w:rsidRPr="00CA3CAA">
        <w:rPr>
          <w:sz w:val="24"/>
          <w:szCs w:val="24"/>
        </w:rPr>
        <w:t>;</w:t>
      </w:r>
      <w:r w:rsidR="000303AD">
        <w:rPr>
          <w:sz w:val="24"/>
          <w:szCs w:val="24"/>
        </w:rPr>
        <w:t xml:space="preserve"> and</w:t>
      </w:r>
    </w:p>
    <w:p w14:paraId="1D25D4BD" w14:textId="06A39768" w:rsidR="00573955" w:rsidRPr="00CA3CAA" w:rsidRDefault="000303AD" w:rsidP="00573955">
      <w:pPr>
        <w:pStyle w:val="BodyTextIndent3"/>
        <w:numPr>
          <w:ilvl w:val="0"/>
          <w:numId w:val="69"/>
        </w:numPr>
        <w:tabs>
          <w:tab w:val="left" w:pos="1080"/>
        </w:tabs>
        <w:spacing w:after="0"/>
        <w:ind w:left="1440"/>
        <w:rPr>
          <w:sz w:val="24"/>
          <w:szCs w:val="24"/>
        </w:rPr>
      </w:pPr>
      <w:r>
        <w:rPr>
          <w:sz w:val="24"/>
          <w:szCs w:val="24"/>
        </w:rPr>
        <w:t xml:space="preserve">A facility-wide HAP limit of 9.9 </w:t>
      </w:r>
      <w:proofErr w:type="spellStart"/>
      <w:r>
        <w:rPr>
          <w:sz w:val="24"/>
          <w:szCs w:val="24"/>
        </w:rPr>
        <w:t>tpy</w:t>
      </w:r>
      <w:proofErr w:type="spellEnd"/>
      <w:r>
        <w:rPr>
          <w:sz w:val="24"/>
          <w:szCs w:val="24"/>
        </w:rPr>
        <w:t xml:space="preserve"> for any single HAP and 24.9 </w:t>
      </w:r>
      <w:proofErr w:type="spellStart"/>
      <w:r>
        <w:rPr>
          <w:sz w:val="24"/>
          <w:szCs w:val="24"/>
        </w:rPr>
        <w:t>tpy</w:t>
      </w:r>
      <w:proofErr w:type="spellEnd"/>
      <w:r>
        <w:rPr>
          <w:sz w:val="24"/>
          <w:szCs w:val="24"/>
        </w:rPr>
        <w:t xml:space="preserve"> for all HAP combined.</w:t>
      </w:r>
    </w:p>
    <w:p w14:paraId="4F5F2808" w14:textId="77777777" w:rsidR="00573955" w:rsidRPr="00CA3CAA" w:rsidRDefault="00573955" w:rsidP="00573955">
      <w:pPr>
        <w:ind w:left="360"/>
      </w:pPr>
    </w:p>
    <w:p w14:paraId="108F9ECA" w14:textId="77777777" w:rsidR="00573955" w:rsidRPr="00CA3CAA" w:rsidRDefault="00573955" w:rsidP="00573955">
      <w:pPr>
        <w:pStyle w:val="BodyTextIndent3"/>
        <w:spacing w:after="0"/>
        <w:ind w:left="720"/>
        <w:rPr>
          <w:sz w:val="24"/>
          <w:szCs w:val="24"/>
        </w:rPr>
      </w:pPr>
      <w:r w:rsidRPr="00CA3CAA">
        <w:rPr>
          <w:sz w:val="24"/>
          <w:szCs w:val="24"/>
        </w:rPr>
        <w:t xml:space="preserve">This information does not represent a comprehensive list of license restrictions or permissions. That information is provided in the Order section of this license. </w:t>
      </w:r>
    </w:p>
    <w:p w14:paraId="70CB63BA" w14:textId="77777777" w:rsidR="00573955" w:rsidRDefault="00573955" w:rsidP="00573955">
      <w:pPr>
        <w:jc w:val="left"/>
      </w:pPr>
    </w:p>
    <w:p w14:paraId="45BDC730" w14:textId="77777777" w:rsidR="00573955" w:rsidRDefault="00573955" w:rsidP="00573955">
      <w:pPr>
        <w:jc w:val="left"/>
      </w:pPr>
    </w:p>
    <w:p w14:paraId="6EAB3560" w14:textId="77777777" w:rsidR="0058323B" w:rsidRDefault="0058323B">
      <w:pPr>
        <w:jc w:val="left"/>
        <w:rPr>
          <w:b/>
        </w:rPr>
      </w:pPr>
      <w:r>
        <w:rPr>
          <w:b/>
        </w:rPr>
        <w:br w:type="page"/>
      </w:r>
    </w:p>
    <w:p w14:paraId="1C8F5694" w14:textId="578A45F9" w:rsidR="00573955" w:rsidRPr="008155F0" w:rsidRDefault="00573955" w:rsidP="00573955">
      <w:pPr>
        <w:jc w:val="center"/>
        <w:rPr>
          <w:b/>
        </w:rPr>
      </w:pPr>
      <w:r w:rsidRPr="008155F0">
        <w:rPr>
          <w:b/>
        </w:rPr>
        <w:lastRenderedPageBreak/>
        <w:t>Total Licensed Annual Emissions for the Facility</w:t>
      </w:r>
    </w:p>
    <w:p w14:paraId="41F932F3" w14:textId="77777777" w:rsidR="00573955" w:rsidRPr="008155F0" w:rsidRDefault="00573955" w:rsidP="00573955">
      <w:pPr>
        <w:jc w:val="center"/>
        <w:rPr>
          <w:b/>
        </w:rPr>
      </w:pPr>
      <w:r w:rsidRPr="008155F0">
        <w:rPr>
          <w:b/>
        </w:rPr>
        <w:t>Tons/year</w:t>
      </w:r>
    </w:p>
    <w:p w14:paraId="10245D30" w14:textId="77777777" w:rsidR="00573955" w:rsidRPr="00D57676" w:rsidRDefault="00573955" w:rsidP="00573955">
      <w:pPr>
        <w:jc w:val="center"/>
      </w:pPr>
      <w:r w:rsidRPr="00D57676">
        <w:t>(used to calculate the annual license fee)</w:t>
      </w:r>
    </w:p>
    <w:p w14:paraId="5E17A3CC" w14:textId="77777777" w:rsidR="00573955" w:rsidRPr="00797414" w:rsidRDefault="00573955" w:rsidP="005739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91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520"/>
        <w:gridCol w:w="945"/>
        <w:gridCol w:w="945"/>
        <w:gridCol w:w="945"/>
        <w:gridCol w:w="945"/>
        <w:gridCol w:w="945"/>
        <w:gridCol w:w="945"/>
        <w:gridCol w:w="945"/>
      </w:tblGrid>
      <w:tr w:rsidR="00573955" w:rsidRPr="00797414" w14:paraId="48965BC1" w14:textId="77777777" w:rsidTr="0058323B">
        <w:trPr>
          <w:trHeight w:val="56"/>
          <w:tblHeader/>
          <w:jc w:val="center"/>
        </w:trPr>
        <w:tc>
          <w:tcPr>
            <w:tcW w:w="2520" w:type="dxa"/>
            <w:shd w:val="clear" w:color="auto" w:fill="D9D9D9" w:themeFill="background1" w:themeFillShade="D9"/>
            <w:vAlign w:val="bottom"/>
          </w:tcPr>
          <w:p w14:paraId="4BF3AD23"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E46045C"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945" w:type="dxa"/>
            <w:shd w:val="clear" w:color="auto" w:fill="D9D9D9" w:themeFill="background1" w:themeFillShade="D9"/>
            <w:vAlign w:val="bottom"/>
          </w:tcPr>
          <w:p w14:paraId="3F2225CC"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945" w:type="dxa"/>
            <w:shd w:val="clear" w:color="auto" w:fill="D9D9D9" w:themeFill="background1" w:themeFillShade="D9"/>
            <w:vAlign w:val="bottom"/>
          </w:tcPr>
          <w:p w14:paraId="1C10DDED"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945" w:type="dxa"/>
            <w:shd w:val="clear" w:color="auto" w:fill="D9D9D9" w:themeFill="background1" w:themeFillShade="D9"/>
            <w:vAlign w:val="bottom"/>
          </w:tcPr>
          <w:p w14:paraId="4E1E8644"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945" w:type="dxa"/>
            <w:shd w:val="clear" w:color="auto" w:fill="D9D9D9" w:themeFill="background1" w:themeFillShade="D9"/>
            <w:vAlign w:val="bottom"/>
          </w:tcPr>
          <w:p w14:paraId="0411CF40"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945" w:type="dxa"/>
            <w:shd w:val="clear" w:color="auto" w:fill="D9D9D9" w:themeFill="background1" w:themeFillShade="D9"/>
            <w:vAlign w:val="bottom"/>
          </w:tcPr>
          <w:p w14:paraId="3A4876FC"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945" w:type="dxa"/>
            <w:shd w:val="clear" w:color="auto" w:fill="D9D9D9" w:themeFill="background1" w:themeFillShade="D9"/>
            <w:vAlign w:val="bottom"/>
          </w:tcPr>
          <w:p w14:paraId="090965E3"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573955" w14:paraId="26DD16AE" w14:textId="77777777" w:rsidTr="0058323B">
        <w:trPr>
          <w:trHeight w:val="285"/>
          <w:jc w:val="center"/>
        </w:trPr>
        <w:tc>
          <w:tcPr>
            <w:tcW w:w="2520" w:type="dxa"/>
            <w:vAlign w:val="center"/>
          </w:tcPr>
          <w:p w14:paraId="4B4ACDFC" w14:textId="302CBDD8"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Total Distillate Fuel Fired</w:t>
            </w:r>
          </w:p>
        </w:tc>
        <w:tc>
          <w:tcPr>
            <w:tcW w:w="945" w:type="dxa"/>
            <w:vAlign w:val="center"/>
          </w:tcPr>
          <w:p w14:paraId="0FCD1258" w14:textId="59EB5980"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1.7</w:t>
            </w:r>
          </w:p>
        </w:tc>
        <w:tc>
          <w:tcPr>
            <w:tcW w:w="945" w:type="dxa"/>
            <w:vAlign w:val="center"/>
          </w:tcPr>
          <w:p w14:paraId="49456C9F" w14:textId="08185243"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w:t>
            </w:r>
          </w:p>
        </w:tc>
        <w:tc>
          <w:tcPr>
            <w:tcW w:w="945" w:type="dxa"/>
            <w:vAlign w:val="center"/>
          </w:tcPr>
          <w:p w14:paraId="0764E183" w14:textId="1C0CB722"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w:t>
            </w:r>
          </w:p>
        </w:tc>
        <w:tc>
          <w:tcPr>
            <w:tcW w:w="945" w:type="dxa"/>
            <w:vAlign w:val="center"/>
          </w:tcPr>
          <w:p w14:paraId="442C1896" w14:textId="54D0B312"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6AB7FC98" w14:textId="6F6250AB"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3.7</w:t>
            </w:r>
          </w:p>
        </w:tc>
        <w:tc>
          <w:tcPr>
            <w:tcW w:w="945" w:type="dxa"/>
            <w:vAlign w:val="center"/>
          </w:tcPr>
          <w:p w14:paraId="2F6245B6" w14:textId="5E1E47DF"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w:t>
            </w:r>
          </w:p>
        </w:tc>
        <w:tc>
          <w:tcPr>
            <w:tcW w:w="945" w:type="dxa"/>
            <w:vAlign w:val="center"/>
          </w:tcPr>
          <w:p w14:paraId="68191F92" w14:textId="5D9D1ADC"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r>
      <w:tr w:rsidR="00573955" w14:paraId="266044E7" w14:textId="77777777" w:rsidTr="0058323B">
        <w:trPr>
          <w:trHeight w:val="285"/>
          <w:jc w:val="center"/>
        </w:trPr>
        <w:tc>
          <w:tcPr>
            <w:tcW w:w="2520" w:type="dxa"/>
            <w:vAlign w:val="center"/>
          </w:tcPr>
          <w:p w14:paraId="0ABBE79B" w14:textId="5BB9E890"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Total Natural Gas Fired</w:t>
            </w:r>
          </w:p>
        </w:tc>
        <w:tc>
          <w:tcPr>
            <w:tcW w:w="945" w:type="dxa"/>
            <w:vAlign w:val="center"/>
          </w:tcPr>
          <w:p w14:paraId="65B0E957" w14:textId="2B51BF09"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15.7</w:t>
            </w:r>
          </w:p>
        </w:tc>
        <w:tc>
          <w:tcPr>
            <w:tcW w:w="945" w:type="dxa"/>
            <w:vAlign w:val="center"/>
          </w:tcPr>
          <w:p w14:paraId="4EF4AC1C" w14:textId="0A2541C5"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344769">
              <w:rPr>
                <w:sz w:val="22"/>
                <w:szCs w:val="22"/>
              </w:rPr>
              <w:t>5.7</w:t>
            </w:r>
          </w:p>
        </w:tc>
        <w:tc>
          <w:tcPr>
            <w:tcW w:w="945" w:type="dxa"/>
            <w:vAlign w:val="center"/>
          </w:tcPr>
          <w:p w14:paraId="1B7B9188" w14:textId="73EA9645"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344769">
              <w:rPr>
                <w:sz w:val="22"/>
                <w:szCs w:val="22"/>
              </w:rPr>
              <w:t>5.7</w:t>
            </w:r>
          </w:p>
        </w:tc>
        <w:tc>
          <w:tcPr>
            <w:tcW w:w="945" w:type="dxa"/>
            <w:vAlign w:val="center"/>
          </w:tcPr>
          <w:p w14:paraId="6E8ABC56" w14:textId="31DDB90A"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5B681658" w14:textId="4EF758E2"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27.9</w:t>
            </w:r>
          </w:p>
        </w:tc>
        <w:tc>
          <w:tcPr>
            <w:tcW w:w="945" w:type="dxa"/>
            <w:vAlign w:val="center"/>
          </w:tcPr>
          <w:p w14:paraId="432E0569" w14:textId="2877BFD8"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21.9</w:t>
            </w:r>
          </w:p>
        </w:tc>
        <w:tc>
          <w:tcPr>
            <w:tcW w:w="945" w:type="dxa"/>
            <w:vAlign w:val="center"/>
          </w:tcPr>
          <w:p w14:paraId="57926602" w14:textId="15685DCF"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1.9</w:t>
            </w:r>
          </w:p>
        </w:tc>
      </w:tr>
      <w:tr w:rsidR="00573955" w14:paraId="1C41BCEE" w14:textId="77777777" w:rsidTr="0058323B">
        <w:trPr>
          <w:trHeight w:val="285"/>
          <w:jc w:val="center"/>
        </w:trPr>
        <w:tc>
          <w:tcPr>
            <w:tcW w:w="2520" w:type="dxa"/>
            <w:vAlign w:val="center"/>
          </w:tcPr>
          <w:p w14:paraId="56401427" w14:textId="5C17615E" w:rsidR="00573955" w:rsidRPr="00CA3CAA" w:rsidRDefault="0058323B" w:rsidP="005832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Facility-wide VOC Process Equipment Limit</w:t>
            </w:r>
          </w:p>
        </w:tc>
        <w:tc>
          <w:tcPr>
            <w:tcW w:w="945" w:type="dxa"/>
            <w:vAlign w:val="center"/>
          </w:tcPr>
          <w:p w14:paraId="73520BE2" w14:textId="00888B37"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2D9ED6A3" w14:textId="11517A0D"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19CF6AB" w14:textId="7DC3F99F"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DAFD497" w14:textId="624C373E"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D7B6FDC" w14:textId="20F02C1A"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237F1DF2" w14:textId="38D8AE79"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EAC8A47" w14:textId="7B86E192" w:rsidR="00573955" w:rsidRPr="00CA3CAA" w:rsidRDefault="0058323B"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46.5</w:t>
            </w:r>
          </w:p>
        </w:tc>
      </w:tr>
      <w:tr w:rsidR="00573955" w14:paraId="3C2401C9" w14:textId="77777777" w:rsidTr="0058323B">
        <w:trPr>
          <w:trHeight w:val="285"/>
          <w:jc w:val="center"/>
        </w:trPr>
        <w:tc>
          <w:tcPr>
            <w:tcW w:w="2520" w:type="dxa"/>
            <w:tcBorders>
              <w:top w:val="single" w:sz="12" w:space="0" w:color="auto"/>
              <w:bottom w:val="double" w:sz="4" w:space="0" w:color="auto"/>
            </w:tcBorders>
          </w:tcPr>
          <w:p w14:paraId="261F62CB" w14:textId="77777777" w:rsidR="00573955" w:rsidRPr="00CA3CAA" w:rsidRDefault="00573955"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945" w:type="dxa"/>
            <w:tcBorders>
              <w:top w:val="single" w:sz="12" w:space="0" w:color="auto"/>
              <w:bottom w:val="double" w:sz="4" w:space="0" w:color="auto"/>
            </w:tcBorders>
            <w:vAlign w:val="center"/>
          </w:tcPr>
          <w:p w14:paraId="1D1DDB9E" w14:textId="4BBAB433"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17.4</w:t>
            </w:r>
          </w:p>
        </w:tc>
        <w:tc>
          <w:tcPr>
            <w:tcW w:w="945" w:type="dxa"/>
            <w:tcBorders>
              <w:top w:val="single" w:sz="12" w:space="0" w:color="auto"/>
              <w:bottom w:val="double" w:sz="4" w:space="0" w:color="auto"/>
            </w:tcBorders>
            <w:vAlign w:val="center"/>
          </w:tcPr>
          <w:p w14:paraId="1D7EF605" w14:textId="2F79CF90"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344769">
              <w:rPr>
                <w:b/>
                <w:sz w:val="22"/>
                <w:szCs w:val="22"/>
              </w:rPr>
              <w:t>6.7</w:t>
            </w:r>
          </w:p>
        </w:tc>
        <w:tc>
          <w:tcPr>
            <w:tcW w:w="945" w:type="dxa"/>
            <w:tcBorders>
              <w:top w:val="single" w:sz="12" w:space="0" w:color="auto"/>
              <w:bottom w:val="double" w:sz="4" w:space="0" w:color="auto"/>
            </w:tcBorders>
            <w:vAlign w:val="center"/>
          </w:tcPr>
          <w:p w14:paraId="2AB0EB72" w14:textId="2A0FE358"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344769">
              <w:rPr>
                <w:b/>
                <w:sz w:val="22"/>
                <w:szCs w:val="22"/>
              </w:rPr>
              <w:t>6.7</w:t>
            </w:r>
          </w:p>
        </w:tc>
        <w:tc>
          <w:tcPr>
            <w:tcW w:w="945" w:type="dxa"/>
            <w:tcBorders>
              <w:top w:val="single" w:sz="12" w:space="0" w:color="auto"/>
              <w:bottom w:val="double" w:sz="4" w:space="0" w:color="auto"/>
            </w:tcBorders>
            <w:vAlign w:val="center"/>
          </w:tcPr>
          <w:p w14:paraId="60452EC8" w14:textId="5586BE9F"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0.2</w:t>
            </w:r>
          </w:p>
        </w:tc>
        <w:tc>
          <w:tcPr>
            <w:tcW w:w="945" w:type="dxa"/>
            <w:tcBorders>
              <w:top w:val="single" w:sz="12" w:space="0" w:color="auto"/>
              <w:bottom w:val="double" w:sz="4" w:space="0" w:color="auto"/>
            </w:tcBorders>
            <w:vAlign w:val="center"/>
          </w:tcPr>
          <w:p w14:paraId="59209B9A" w14:textId="7FFFB4A7"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31.6</w:t>
            </w:r>
          </w:p>
        </w:tc>
        <w:tc>
          <w:tcPr>
            <w:tcW w:w="945" w:type="dxa"/>
            <w:tcBorders>
              <w:top w:val="single" w:sz="12" w:space="0" w:color="auto"/>
              <w:bottom w:val="double" w:sz="4" w:space="0" w:color="auto"/>
            </w:tcBorders>
            <w:vAlign w:val="center"/>
          </w:tcPr>
          <w:p w14:paraId="52FE40D4" w14:textId="340F9359"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23.2</w:t>
            </w:r>
          </w:p>
        </w:tc>
        <w:tc>
          <w:tcPr>
            <w:tcW w:w="945" w:type="dxa"/>
            <w:tcBorders>
              <w:top w:val="single" w:sz="12" w:space="0" w:color="auto"/>
              <w:bottom w:val="double" w:sz="4" w:space="0" w:color="auto"/>
            </w:tcBorders>
            <w:vAlign w:val="center"/>
          </w:tcPr>
          <w:p w14:paraId="7F09F5B4" w14:textId="4A0660B3" w:rsidR="00573955" w:rsidRPr="00CA3CAA" w:rsidRDefault="00446BDF" w:rsidP="00DC73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48.6</w:t>
            </w:r>
          </w:p>
        </w:tc>
      </w:tr>
    </w:tbl>
    <w:p w14:paraId="4C655E8D" w14:textId="77777777" w:rsidR="00573955" w:rsidRPr="0004533C" w:rsidRDefault="00573955" w:rsidP="00573955">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573955" w:rsidRPr="0004533C" w14:paraId="1224206C" w14:textId="77777777" w:rsidTr="00DC7303">
        <w:trPr>
          <w:cantSplit/>
          <w:tblHeader/>
        </w:trPr>
        <w:tc>
          <w:tcPr>
            <w:tcW w:w="1872" w:type="dxa"/>
            <w:shd w:val="clear" w:color="auto" w:fill="D9D9D9" w:themeFill="background1" w:themeFillShade="D9"/>
          </w:tcPr>
          <w:p w14:paraId="67E91B97" w14:textId="77777777" w:rsidR="00573955" w:rsidRPr="00DB2DFD" w:rsidRDefault="00573955" w:rsidP="00DC730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74D45DEC" w14:textId="77777777" w:rsidR="00573955" w:rsidRPr="00DB2DFD" w:rsidRDefault="00573955" w:rsidP="00DC730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573955" w:rsidRPr="0004533C" w14:paraId="282E3CA6" w14:textId="77777777" w:rsidTr="00DC7303">
        <w:trPr>
          <w:cantSplit/>
        </w:trPr>
        <w:tc>
          <w:tcPr>
            <w:tcW w:w="1872" w:type="dxa"/>
          </w:tcPr>
          <w:p w14:paraId="0EFC821D" w14:textId="77777777" w:rsidR="00573955" w:rsidRPr="00DB2DFD" w:rsidRDefault="00573955" w:rsidP="00DC730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081852D4" w14:textId="3F168E34" w:rsidR="00573955" w:rsidRPr="00DB2DFD" w:rsidRDefault="00691ABE" w:rsidP="00DC730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9</w:t>
            </w:r>
            <w:r w:rsidR="00573955" w:rsidRPr="00DB2DFD">
              <w:rPr>
                <w:sz w:val="22"/>
                <w:szCs w:val="22"/>
              </w:rPr>
              <w:t>.9</w:t>
            </w:r>
          </w:p>
        </w:tc>
      </w:tr>
      <w:tr w:rsidR="00573955" w:rsidRPr="0004533C" w14:paraId="77A0883E" w14:textId="77777777" w:rsidTr="00DC7303">
        <w:trPr>
          <w:cantSplit/>
        </w:trPr>
        <w:tc>
          <w:tcPr>
            <w:tcW w:w="1872" w:type="dxa"/>
          </w:tcPr>
          <w:p w14:paraId="10D97789" w14:textId="77777777" w:rsidR="00573955" w:rsidRPr="00DB2DFD" w:rsidRDefault="00573955" w:rsidP="00DC730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01CB8456" w14:textId="6778A1C4" w:rsidR="00573955" w:rsidRPr="00DB2DFD" w:rsidRDefault="00691ABE" w:rsidP="00DC7303">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24</w:t>
            </w:r>
            <w:r w:rsidR="00573955" w:rsidRPr="00DB2DFD">
              <w:rPr>
                <w:sz w:val="22"/>
                <w:szCs w:val="22"/>
              </w:rPr>
              <w:t>.9</w:t>
            </w:r>
          </w:p>
        </w:tc>
      </w:tr>
    </w:tbl>
    <w:p w14:paraId="6497AAC9" w14:textId="77777777" w:rsidR="00573955" w:rsidRDefault="00573955" w:rsidP="00573955">
      <w:pPr>
        <w:tabs>
          <w:tab w:val="left" w:pos="720"/>
          <w:tab w:val="left" w:pos="1080"/>
        </w:tabs>
      </w:pPr>
    </w:p>
    <w:p w14:paraId="549887D4" w14:textId="77777777" w:rsidR="00037EE8" w:rsidRPr="00950B4F" w:rsidRDefault="00037EE8" w:rsidP="00037EE8">
      <w:pPr>
        <w:pStyle w:val="Heading2"/>
      </w:pPr>
      <w:r w:rsidRPr="00950B4F">
        <w:t>AMBIENT AIR QUALITY ANALYSIS</w:t>
      </w:r>
    </w:p>
    <w:p w14:paraId="7A9FA595" w14:textId="77777777" w:rsidR="00037EE8" w:rsidRPr="00950B4F" w:rsidRDefault="00037EE8" w:rsidP="00037EE8">
      <w:pPr>
        <w:jc w:val="left"/>
      </w:pPr>
    </w:p>
    <w:p w14:paraId="7F84A930" w14:textId="77777777" w:rsidR="00037EE8" w:rsidRPr="00950B4F" w:rsidRDefault="00037EE8" w:rsidP="00037EE8">
      <w:pPr>
        <w:ind w:left="360"/>
      </w:pPr>
      <w:r w:rsidRPr="00950B4F">
        <w:t>The level of ambient air quality impact modeling required for a minor source is determined by the Department on a case-by-case basis. In accordance with 06</w:t>
      </w:r>
      <w:r w:rsidRPr="00950B4F">
        <w:noBreakHyphen/>
        <w:t>096 C.M.R. ch. 115, an ambient air quality impact analysis is not required for a minor source if the total licensed annual emissions of any pollutant released do not exceed the following levels and there are no extenuating circumstances:</w:t>
      </w:r>
    </w:p>
    <w:p w14:paraId="1F5B8D5A" w14:textId="77777777" w:rsidR="00037EE8" w:rsidRPr="00950B4F" w:rsidRDefault="00037EE8" w:rsidP="00037EE8">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037EE8" w:rsidRPr="00950B4F" w14:paraId="2F22DD8D" w14:textId="77777777" w:rsidTr="001734F6">
        <w:trPr>
          <w:trHeight w:val="36"/>
          <w:tblHeader/>
          <w:jc w:val="center"/>
        </w:trPr>
        <w:tc>
          <w:tcPr>
            <w:tcW w:w="1440" w:type="dxa"/>
            <w:shd w:val="clear" w:color="auto" w:fill="D9D9D9" w:themeFill="background1" w:themeFillShade="D9"/>
            <w:vAlign w:val="bottom"/>
          </w:tcPr>
          <w:p w14:paraId="164A735D" w14:textId="77777777" w:rsidR="00037EE8" w:rsidRPr="00950B4F" w:rsidRDefault="00037EE8" w:rsidP="001734F6">
            <w:pPr>
              <w:pStyle w:val="BodyTextIndent"/>
              <w:spacing w:after="0"/>
              <w:ind w:left="0"/>
              <w:jc w:val="center"/>
              <w:rPr>
                <w:b/>
                <w:sz w:val="22"/>
                <w:szCs w:val="22"/>
              </w:rPr>
            </w:pPr>
            <w:r w:rsidRPr="00950B4F">
              <w:rPr>
                <w:b/>
                <w:sz w:val="22"/>
                <w:szCs w:val="22"/>
              </w:rPr>
              <w:t>Pollutant</w:t>
            </w:r>
          </w:p>
        </w:tc>
        <w:tc>
          <w:tcPr>
            <w:tcW w:w="1305" w:type="dxa"/>
            <w:shd w:val="clear" w:color="auto" w:fill="D9D9D9" w:themeFill="background1" w:themeFillShade="D9"/>
            <w:vAlign w:val="bottom"/>
          </w:tcPr>
          <w:p w14:paraId="41387D11" w14:textId="77777777" w:rsidR="00037EE8" w:rsidRPr="00950B4F" w:rsidRDefault="00037EE8" w:rsidP="001734F6">
            <w:pPr>
              <w:pStyle w:val="BodyTextIndent"/>
              <w:spacing w:after="0"/>
              <w:ind w:left="0"/>
              <w:jc w:val="center"/>
              <w:rPr>
                <w:b/>
                <w:sz w:val="22"/>
                <w:szCs w:val="22"/>
              </w:rPr>
            </w:pPr>
            <w:r w:rsidRPr="00950B4F">
              <w:rPr>
                <w:b/>
                <w:sz w:val="22"/>
                <w:szCs w:val="22"/>
              </w:rPr>
              <w:t>Tons/Year</w:t>
            </w:r>
          </w:p>
        </w:tc>
      </w:tr>
      <w:tr w:rsidR="00037EE8" w:rsidRPr="00950B4F" w14:paraId="43B72E04" w14:textId="77777777" w:rsidTr="001734F6">
        <w:trPr>
          <w:jc w:val="center"/>
        </w:trPr>
        <w:tc>
          <w:tcPr>
            <w:tcW w:w="1440" w:type="dxa"/>
          </w:tcPr>
          <w:p w14:paraId="679A4509" w14:textId="77777777" w:rsidR="00037EE8" w:rsidRPr="00950B4F" w:rsidRDefault="00037EE8" w:rsidP="001734F6">
            <w:pPr>
              <w:pStyle w:val="BodyTextIndent"/>
              <w:spacing w:after="0"/>
              <w:ind w:left="0"/>
              <w:jc w:val="center"/>
              <w:rPr>
                <w:sz w:val="22"/>
                <w:szCs w:val="22"/>
              </w:rPr>
            </w:pPr>
            <w:r w:rsidRPr="00950B4F">
              <w:rPr>
                <w:sz w:val="22"/>
                <w:szCs w:val="22"/>
              </w:rPr>
              <w:t xml:space="preserve">   PM</w:t>
            </w:r>
            <w:r w:rsidRPr="00950B4F">
              <w:rPr>
                <w:sz w:val="22"/>
                <w:szCs w:val="22"/>
                <w:vertAlign w:val="subscript"/>
              </w:rPr>
              <w:t>10</w:t>
            </w:r>
          </w:p>
        </w:tc>
        <w:tc>
          <w:tcPr>
            <w:tcW w:w="1305" w:type="dxa"/>
            <w:vAlign w:val="center"/>
          </w:tcPr>
          <w:p w14:paraId="245749CE" w14:textId="77777777" w:rsidR="00037EE8" w:rsidRPr="00950B4F" w:rsidRDefault="00037EE8" w:rsidP="001734F6">
            <w:pPr>
              <w:pStyle w:val="BodyTextIndent"/>
              <w:tabs>
                <w:tab w:val="left" w:pos="725"/>
              </w:tabs>
              <w:spacing w:after="0"/>
              <w:ind w:left="0" w:right="364"/>
              <w:jc w:val="right"/>
              <w:rPr>
                <w:sz w:val="22"/>
                <w:szCs w:val="22"/>
              </w:rPr>
            </w:pPr>
            <w:r w:rsidRPr="00950B4F">
              <w:rPr>
                <w:sz w:val="22"/>
                <w:szCs w:val="22"/>
              </w:rPr>
              <w:t>25</w:t>
            </w:r>
          </w:p>
        </w:tc>
      </w:tr>
      <w:tr w:rsidR="00037EE8" w:rsidRPr="00950B4F" w14:paraId="113A1D9B" w14:textId="77777777" w:rsidTr="001734F6">
        <w:trPr>
          <w:jc w:val="center"/>
        </w:trPr>
        <w:tc>
          <w:tcPr>
            <w:tcW w:w="1440" w:type="dxa"/>
          </w:tcPr>
          <w:p w14:paraId="656D228C" w14:textId="77777777" w:rsidR="00037EE8" w:rsidRPr="00950B4F" w:rsidRDefault="00037EE8" w:rsidP="001734F6">
            <w:pPr>
              <w:pStyle w:val="BodyTextIndent"/>
              <w:spacing w:after="0"/>
              <w:ind w:left="0"/>
              <w:jc w:val="center"/>
              <w:rPr>
                <w:sz w:val="22"/>
                <w:szCs w:val="22"/>
              </w:rPr>
            </w:pPr>
            <w:r w:rsidRPr="00950B4F">
              <w:rPr>
                <w:sz w:val="22"/>
                <w:szCs w:val="22"/>
              </w:rPr>
              <w:t>PM</w:t>
            </w:r>
            <w:r w:rsidRPr="00950B4F">
              <w:rPr>
                <w:sz w:val="22"/>
                <w:szCs w:val="22"/>
                <w:vertAlign w:val="subscript"/>
              </w:rPr>
              <w:t>2.5</w:t>
            </w:r>
          </w:p>
        </w:tc>
        <w:tc>
          <w:tcPr>
            <w:tcW w:w="1305" w:type="dxa"/>
            <w:vAlign w:val="center"/>
          </w:tcPr>
          <w:p w14:paraId="26D33F8F" w14:textId="77777777" w:rsidR="00037EE8" w:rsidRPr="00950B4F" w:rsidRDefault="00037EE8" w:rsidP="001734F6">
            <w:pPr>
              <w:pStyle w:val="BodyTextIndent"/>
              <w:tabs>
                <w:tab w:val="left" w:pos="725"/>
              </w:tabs>
              <w:spacing w:after="0"/>
              <w:ind w:left="0" w:right="364"/>
              <w:jc w:val="right"/>
              <w:rPr>
                <w:sz w:val="22"/>
                <w:szCs w:val="22"/>
              </w:rPr>
            </w:pPr>
            <w:r w:rsidRPr="00950B4F">
              <w:rPr>
                <w:sz w:val="22"/>
                <w:szCs w:val="22"/>
              </w:rPr>
              <w:t>15</w:t>
            </w:r>
          </w:p>
        </w:tc>
      </w:tr>
      <w:tr w:rsidR="00037EE8" w:rsidRPr="00950B4F" w14:paraId="15C4BDF0" w14:textId="77777777" w:rsidTr="001734F6">
        <w:trPr>
          <w:jc w:val="center"/>
        </w:trPr>
        <w:tc>
          <w:tcPr>
            <w:tcW w:w="1440" w:type="dxa"/>
          </w:tcPr>
          <w:p w14:paraId="7D8E6FD0" w14:textId="77777777" w:rsidR="00037EE8" w:rsidRPr="00950B4F" w:rsidRDefault="00037EE8" w:rsidP="001734F6">
            <w:pPr>
              <w:pStyle w:val="BodyTextIndent"/>
              <w:spacing w:after="0"/>
              <w:ind w:left="0"/>
              <w:jc w:val="center"/>
              <w:rPr>
                <w:sz w:val="22"/>
                <w:szCs w:val="22"/>
              </w:rPr>
            </w:pPr>
            <w:r w:rsidRPr="00950B4F">
              <w:rPr>
                <w:sz w:val="22"/>
                <w:szCs w:val="22"/>
              </w:rPr>
              <w:t xml:space="preserve"> SO</w:t>
            </w:r>
            <w:r w:rsidRPr="00950B4F">
              <w:rPr>
                <w:sz w:val="22"/>
                <w:szCs w:val="22"/>
                <w:vertAlign w:val="subscript"/>
              </w:rPr>
              <w:t>2</w:t>
            </w:r>
          </w:p>
        </w:tc>
        <w:tc>
          <w:tcPr>
            <w:tcW w:w="1305" w:type="dxa"/>
            <w:vAlign w:val="center"/>
          </w:tcPr>
          <w:p w14:paraId="5C647AB8" w14:textId="77777777" w:rsidR="00037EE8" w:rsidRPr="00950B4F" w:rsidRDefault="00037EE8" w:rsidP="001734F6">
            <w:pPr>
              <w:pStyle w:val="BodyTextIndent"/>
              <w:tabs>
                <w:tab w:val="left" w:pos="725"/>
              </w:tabs>
              <w:spacing w:after="0"/>
              <w:ind w:left="0" w:right="364"/>
              <w:jc w:val="right"/>
              <w:rPr>
                <w:sz w:val="22"/>
                <w:szCs w:val="22"/>
              </w:rPr>
            </w:pPr>
            <w:r w:rsidRPr="00950B4F">
              <w:rPr>
                <w:sz w:val="22"/>
                <w:szCs w:val="22"/>
              </w:rPr>
              <w:t>50</w:t>
            </w:r>
          </w:p>
        </w:tc>
      </w:tr>
      <w:tr w:rsidR="00037EE8" w:rsidRPr="00950B4F" w14:paraId="353F8AFE" w14:textId="77777777" w:rsidTr="001734F6">
        <w:trPr>
          <w:jc w:val="center"/>
        </w:trPr>
        <w:tc>
          <w:tcPr>
            <w:tcW w:w="1440" w:type="dxa"/>
          </w:tcPr>
          <w:p w14:paraId="37B7528A" w14:textId="77777777" w:rsidR="00037EE8" w:rsidRPr="00950B4F" w:rsidRDefault="00037EE8" w:rsidP="001734F6">
            <w:pPr>
              <w:pStyle w:val="BodyTextIndent"/>
              <w:spacing w:after="0"/>
              <w:ind w:left="0"/>
              <w:jc w:val="center"/>
              <w:rPr>
                <w:sz w:val="22"/>
                <w:szCs w:val="22"/>
              </w:rPr>
            </w:pPr>
            <w:r w:rsidRPr="00950B4F">
              <w:rPr>
                <w:sz w:val="22"/>
                <w:szCs w:val="22"/>
              </w:rPr>
              <w:t xml:space="preserve"> NO</w:t>
            </w:r>
            <w:r w:rsidRPr="00950B4F">
              <w:rPr>
                <w:sz w:val="22"/>
                <w:szCs w:val="22"/>
                <w:vertAlign w:val="subscript"/>
              </w:rPr>
              <w:t>x</w:t>
            </w:r>
          </w:p>
        </w:tc>
        <w:tc>
          <w:tcPr>
            <w:tcW w:w="1305" w:type="dxa"/>
            <w:vAlign w:val="center"/>
          </w:tcPr>
          <w:p w14:paraId="0EE6545F" w14:textId="77777777" w:rsidR="00037EE8" w:rsidRPr="00950B4F" w:rsidRDefault="00037EE8" w:rsidP="001734F6">
            <w:pPr>
              <w:pStyle w:val="BodyTextIndent"/>
              <w:tabs>
                <w:tab w:val="left" w:pos="725"/>
              </w:tabs>
              <w:spacing w:after="0"/>
              <w:ind w:left="0" w:right="364"/>
              <w:jc w:val="right"/>
              <w:rPr>
                <w:sz w:val="22"/>
                <w:szCs w:val="22"/>
              </w:rPr>
            </w:pPr>
            <w:r w:rsidRPr="00950B4F">
              <w:rPr>
                <w:sz w:val="22"/>
                <w:szCs w:val="22"/>
              </w:rPr>
              <w:t>50</w:t>
            </w:r>
          </w:p>
        </w:tc>
      </w:tr>
      <w:tr w:rsidR="00037EE8" w:rsidRPr="00950B4F" w14:paraId="5D1355CA" w14:textId="77777777" w:rsidTr="001734F6">
        <w:trPr>
          <w:jc w:val="center"/>
        </w:trPr>
        <w:tc>
          <w:tcPr>
            <w:tcW w:w="1440" w:type="dxa"/>
          </w:tcPr>
          <w:p w14:paraId="61C3FAE1" w14:textId="77777777" w:rsidR="00037EE8" w:rsidRPr="00950B4F" w:rsidRDefault="00037EE8" w:rsidP="001734F6">
            <w:pPr>
              <w:pStyle w:val="BodyTextIndent"/>
              <w:spacing w:after="0"/>
              <w:ind w:left="0"/>
              <w:jc w:val="center"/>
              <w:rPr>
                <w:sz w:val="22"/>
                <w:szCs w:val="22"/>
              </w:rPr>
            </w:pPr>
            <w:r w:rsidRPr="00950B4F">
              <w:rPr>
                <w:sz w:val="22"/>
                <w:szCs w:val="22"/>
              </w:rPr>
              <w:t>CO</w:t>
            </w:r>
          </w:p>
        </w:tc>
        <w:tc>
          <w:tcPr>
            <w:tcW w:w="1305" w:type="dxa"/>
            <w:vAlign w:val="center"/>
          </w:tcPr>
          <w:p w14:paraId="367C63F4" w14:textId="77777777" w:rsidR="00037EE8" w:rsidRPr="00950B4F" w:rsidRDefault="00037EE8" w:rsidP="001734F6">
            <w:pPr>
              <w:pStyle w:val="BodyTextIndent"/>
              <w:tabs>
                <w:tab w:val="left" w:pos="725"/>
              </w:tabs>
              <w:spacing w:after="0"/>
              <w:ind w:left="0" w:right="364"/>
              <w:jc w:val="right"/>
              <w:rPr>
                <w:sz w:val="22"/>
                <w:szCs w:val="22"/>
              </w:rPr>
            </w:pPr>
            <w:r w:rsidRPr="00950B4F">
              <w:rPr>
                <w:sz w:val="22"/>
                <w:szCs w:val="22"/>
              </w:rPr>
              <w:t>250</w:t>
            </w:r>
          </w:p>
        </w:tc>
      </w:tr>
    </w:tbl>
    <w:p w14:paraId="49CF1188" w14:textId="77777777" w:rsidR="00037EE8" w:rsidRPr="00950B4F" w:rsidRDefault="00037EE8" w:rsidP="00037EE8"/>
    <w:p w14:paraId="41A1D252" w14:textId="63DBD073" w:rsidR="00037EE8" w:rsidRPr="00950B4F" w:rsidRDefault="00037EE8" w:rsidP="00037EE8">
      <w:pPr>
        <w:tabs>
          <w:tab w:val="left" w:pos="720"/>
        </w:tabs>
        <w:ind w:left="360"/>
      </w:pPr>
      <w:r w:rsidRPr="00950B4F">
        <w:t>The total annual licensed emissions for the facility are above at least one of the emission levels contained in the table above due to changes to this table since previous licensing actions</w:t>
      </w:r>
      <w:r w:rsidR="00344769" w:rsidRPr="00950B4F">
        <w:t xml:space="preserve"> (addition of PM</w:t>
      </w:r>
      <w:r w:rsidR="00344769" w:rsidRPr="00950B4F">
        <w:rPr>
          <w:vertAlign w:val="subscript"/>
        </w:rPr>
        <w:t>2.5</w:t>
      </w:r>
      <w:r w:rsidR="00344769" w:rsidRPr="00950B4F">
        <w:t xml:space="preserve"> requirements)</w:t>
      </w:r>
      <w:r w:rsidRPr="00950B4F">
        <w:t xml:space="preserve">.  However, the current licensing action makes no changes that would result in increased emissions. Therefore, the Department has determined that an ambient air quality impact analysis is not required </w:t>
      </w:r>
      <w:proofErr w:type="gramStart"/>
      <w:r w:rsidRPr="00950B4F">
        <w:t>at this time</w:t>
      </w:r>
      <w:proofErr w:type="gramEnd"/>
      <w:r w:rsidRPr="00950B4F">
        <w:t>.</w:t>
      </w:r>
    </w:p>
    <w:p w14:paraId="780E5B91" w14:textId="77777777" w:rsidR="00037EE8" w:rsidRPr="00950B4F" w:rsidRDefault="00037EE8" w:rsidP="00037EE8">
      <w:pPr>
        <w:tabs>
          <w:tab w:val="left" w:pos="720"/>
        </w:tabs>
        <w:ind w:left="360"/>
      </w:pPr>
    </w:p>
    <w:p w14:paraId="59DBCA54" w14:textId="6AC5000B" w:rsidR="00037EE8" w:rsidRPr="008B5420" w:rsidRDefault="00037EE8" w:rsidP="00037EE8">
      <w:pPr>
        <w:ind w:left="360"/>
      </w:pPr>
      <w:r w:rsidRPr="00950B4F">
        <w:t xml:space="preserve">This determination is based on information provided by the applicant regarding the expected construction and operation of the proposed emission units. If the Department determines that any parameter (e.g., stack size, configuration, flow rate, emission rates, nearby structures, etc.) deviates from what was included in the application, the Department may require </w:t>
      </w:r>
      <w:r w:rsidR="00344769" w:rsidRPr="00950B4F">
        <w:t>BIW</w:t>
      </w:r>
      <w:r w:rsidRPr="00950B4F">
        <w:t xml:space="preserve"> to submit additional information and may require an ambient air quality impact analysis at that time.</w:t>
      </w:r>
    </w:p>
    <w:p w14:paraId="3B6BA874" w14:textId="2416C105" w:rsidR="00CA3CAA" w:rsidRDefault="00CA3CAA" w:rsidP="00E43CB6">
      <w:pPr>
        <w:ind w:left="360"/>
      </w:pPr>
    </w:p>
    <w:p w14:paraId="7C37BD1E" w14:textId="77777777" w:rsidR="00037EE8" w:rsidRDefault="00037EE8" w:rsidP="00E43CB6">
      <w:pPr>
        <w:ind w:left="360"/>
      </w:pPr>
    </w:p>
    <w:p w14:paraId="3AB1DDD8" w14:textId="77777777" w:rsidR="00037EE8" w:rsidRPr="008B5420" w:rsidRDefault="00037EE8" w:rsidP="00E43CB6">
      <w:pPr>
        <w:ind w:left="360"/>
      </w:pPr>
    </w:p>
    <w:p w14:paraId="6C900514" w14:textId="77777777" w:rsidR="00CA3CAA" w:rsidRDefault="00EB5AE8" w:rsidP="00EB5AE8">
      <w:pPr>
        <w:pStyle w:val="Heading1"/>
      </w:pPr>
      <w:r>
        <w:lastRenderedPageBreak/>
        <w:t>ORDER</w:t>
      </w:r>
    </w:p>
    <w:p w14:paraId="6C1FB74A" w14:textId="77777777" w:rsidR="00EB5AE8" w:rsidRDefault="00EB5AE8" w:rsidP="006E35A9">
      <w:pPr>
        <w:jc w:val="left"/>
      </w:pPr>
    </w:p>
    <w:p w14:paraId="17C788CC" w14:textId="77777777" w:rsidR="00EB5AE8" w:rsidRDefault="00EB5AE8" w:rsidP="00EB5AE8">
      <w:r>
        <w:t>Based on the above Findings and subject to conditions listed below, the Department concludes that the emissions from this source:</w:t>
      </w:r>
    </w:p>
    <w:p w14:paraId="5CD7B7C6" w14:textId="77777777" w:rsidR="00EB5AE8" w:rsidRDefault="00EB5AE8" w:rsidP="00EB5AE8">
      <w:pPr>
        <w:numPr>
          <w:ilvl w:val="0"/>
          <w:numId w:val="70"/>
        </w:numPr>
        <w:tabs>
          <w:tab w:val="clear" w:pos="720"/>
          <w:tab w:val="num" w:pos="360"/>
        </w:tabs>
        <w:ind w:left="360" w:hanging="360"/>
      </w:pPr>
      <w:r>
        <w:t>will receive Best Practical Treatment,</w:t>
      </w:r>
    </w:p>
    <w:p w14:paraId="5AB21393" w14:textId="77777777" w:rsidR="00EB5AE8" w:rsidRDefault="00EB5AE8" w:rsidP="00EB5AE8">
      <w:pPr>
        <w:numPr>
          <w:ilvl w:val="0"/>
          <w:numId w:val="70"/>
        </w:numPr>
        <w:tabs>
          <w:tab w:val="clear" w:pos="720"/>
          <w:tab w:val="num" w:pos="360"/>
        </w:tabs>
        <w:ind w:left="360" w:hanging="360"/>
      </w:pPr>
      <w:r>
        <w:t>will not violate applicable emission standards, and</w:t>
      </w:r>
    </w:p>
    <w:p w14:paraId="7CA5D6C6" w14:textId="77777777" w:rsidR="00EB5AE8" w:rsidRDefault="00EB5AE8" w:rsidP="00EB5AE8">
      <w:pPr>
        <w:numPr>
          <w:ilvl w:val="0"/>
          <w:numId w:val="70"/>
        </w:numPr>
        <w:tabs>
          <w:tab w:val="clear" w:pos="720"/>
          <w:tab w:val="num" w:pos="360"/>
          <w:tab w:val="num" w:pos="1440"/>
        </w:tabs>
        <w:ind w:left="360" w:hanging="360"/>
      </w:pPr>
      <w:r>
        <w:t>will not violate applicable ambient air quality standards in conjunction with emissions from other sources.</w:t>
      </w:r>
    </w:p>
    <w:p w14:paraId="012D6B1C" w14:textId="77777777" w:rsidR="00EB5AE8" w:rsidRDefault="00EB5AE8" w:rsidP="00EB5AE8"/>
    <w:p w14:paraId="4672CA58" w14:textId="251C9814" w:rsidR="00EB5AE8" w:rsidRDefault="00EB5AE8" w:rsidP="00EB5AE8">
      <w:pPr>
        <w:pStyle w:val="BodyText"/>
      </w:pPr>
      <w:r>
        <w:t>The Department hereby grants Air Emission License</w:t>
      </w:r>
      <w:r w:rsidRPr="001826AE">
        <w:rPr>
          <w:b/>
          <w:bCs/>
          <w:i/>
          <w:szCs w:val="24"/>
        </w:rPr>
        <w:t xml:space="preserve"> </w:t>
      </w:r>
      <w:r w:rsidRPr="00A378EB">
        <w:rPr>
          <w:iCs/>
          <w:szCs w:val="24"/>
        </w:rPr>
        <w:t>Amendment</w:t>
      </w:r>
      <w:r>
        <w:t xml:space="preserve"> A-</w:t>
      </w:r>
      <w:r w:rsidR="00A378EB">
        <w:t>271</w:t>
      </w:r>
      <w:r>
        <w:t>-</w:t>
      </w:r>
      <w:r w:rsidR="00A378EB">
        <w:t>71</w:t>
      </w:r>
      <w:r>
        <w:t>-</w:t>
      </w:r>
      <w:r w:rsidR="00A378EB">
        <w:t>S</w:t>
      </w:r>
      <w:r>
        <w:t>-</w:t>
      </w:r>
      <w:r w:rsidR="00A378EB">
        <w:t>A</w:t>
      </w:r>
      <w:r>
        <w:t xml:space="preserve"> subject to</w:t>
      </w:r>
      <w:r w:rsidRPr="00A378EB">
        <w:rPr>
          <w:bCs/>
          <w:iCs/>
        </w:rPr>
        <w:t xml:space="preserve"> the conditions found in Air Emission License A-</w:t>
      </w:r>
      <w:r w:rsidR="00A378EB" w:rsidRPr="00A378EB">
        <w:rPr>
          <w:bCs/>
          <w:iCs/>
        </w:rPr>
        <w:t>271</w:t>
      </w:r>
      <w:r w:rsidRPr="00A378EB">
        <w:rPr>
          <w:bCs/>
          <w:iCs/>
        </w:rPr>
        <w:t>-</w:t>
      </w:r>
      <w:r w:rsidR="00A378EB" w:rsidRPr="00A378EB">
        <w:rPr>
          <w:bCs/>
          <w:iCs/>
        </w:rPr>
        <w:t>71</w:t>
      </w:r>
      <w:r w:rsidRPr="00A378EB">
        <w:rPr>
          <w:bCs/>
          <w:iCs/>
        </w:rPr>
        <w:t>-</w:t>
      </w:r>
      <w:r w:rsidR="00A378EB" w:rsidRPr="00A378EB">
        <w:rPr>
          <w:bCs/>
          <w:iCs/>
        </w:rPr>
        <w:t>P</w:t>
      </w:r>
      <w:r w:rsidRPr="00A378EB">
        <w:rPr>
          <w:bCs/>
          <w:iCs/>
        </w:rPr>
        <w:t>-R</w:t>
      </w:r>
      <w:r w:rsidR="00A378EB" w:rsidRPr="00A378EB">
        <w:rPr>
          <w:bCs/>
          <w:iCs/>
        </w:rPr>
        <w:t>/A</w:t>
      </w:r>
      <w:r w:rsidRPr="00A378EB">
        <w:rPr>
          <w:bCs/>
          <w:iCs/>
        </w:rPr>
        <w:t>, in amendment</w:t>
      </w:r>
      <w:r w:rsidR="00037EE8">
        <w:rPr>
          <w:bCs/>
          <w:iCs/>
        </w:rPr>
        <w:t>s</w:t>
      </w:r>
      <w:r w:rsidRPr="00A378EB">
        <w:rPr>
          <w:bCs/>
          <w:iCs/>
        </w:rPr>
        <w:t xml:space="preserve"> A-</w:t>
      </w:r>
      <w:r w:rsidR="00A378EB" w:rsidRPr="00A378EB">
        <w:rPr>
          <w:bCs/>
          <w:iCs/>
        </w:rPr>
        <w:t>271</w:t>
      </w:r>
      <w:r w:rsidRPr="00A378EB">
        <w:rPr>
          <w:bCs/>
          <w:iCs/>
        </w:rPr>
        <w:t>-</w:t>
      </w:r>
      <w:r w:rsidR="00A378EB" w:rsidRPr="00A378EB">
        <w:rPr>
          <w:bCs/>
          <w:iCs/>
        </w:rPr>
        <w:t>71</w:t>
      </w:r>
      <w:r w:rsidRPr="00A378EB">
        <w:rPr>
          <w:bCs/>
          <w:iCs/>
        </w:rPr>
        <w:t>-</w:t>
      </w:r>
      <w:r w:rsidR="00A378EB" w:rsidRPr="00A378EB">
        <w:rPr>
          <w:bCs/>
          <w:iCs/>
        </w:rPr>
        <w:t>Q</w:t>
      </w:r>
      <w:r w:rsidRPr="00A378EB">
        <w:rPr>
          <w:bCs/>
          <w:iCs/>
        </w:rPr>
        <w:t>-</w:t>
      </w:r>
      <w:r w:rsidR="00A378EB" w:rsidRPr="00A378EB">
        <w:rPr>
          <w:bCs/>
          <w:iCs/>
        </w:rPr>
        <w:t>M</w:t>
      </w:r>
      <w:r w:rsidRPr="00A378EB">
        <w:rPr>
          <w:bCs/>
          <w:iCs/>
        </w:rPr>
        <w:t xml:space="preserve"> and A</w:t>
      </w:r>
      <w:r w:rsidRPr="00A378EB">
        <w:rPr>
          <w:bCs/>
          <w:iCs/>
        </w:rPr>
        <w:noBreakHyphen/>
      </w:r>
      <w:r w:rsidR="00A378EB" w:rsidRPr="00A378EB">
        <w:rPr>
          <w:bCs/>
          <w:iCs/>
        </w:rPr>
        <w:t>271</w:t>
      </w:r>
      <w:r w:rsidRPr="00A378EB">
        <w:rPr>
          <w:bCs/>
          <w:iCs/>
        </w:rPr>
        <w:t>-</w:t>
      </w:r>
      <w:r w:rsidR="00A378EB" w:rsidRPr="00A378EB">
        <w:rPr>
          <w:bCs/>
          <w:iCs/>
        </w:rPr>
        <w:t>71</w:t>
      </w:r>
      <w:r w:rsidRPr="00A378EB">
        <w:rPr>
          <w:bCs/>
          <w:iCs/>
        </w:rPr>
        <w:t>-</w:t>
      </w:r>
      <w:r w:rsidR="00A378EB" w:rsidRPr="00A378EB">
        <w:rPr>
          <w:bCs/>
          <w:iCs/>
        </w:rPr>
        <w:t>R</w:t>
      </w:r>
      <w:r w:rsidRPr="00A378EB">
        <w:rPr>
          <w:bCs/>
          <w:iCs/>
        </w:rPr>
        <w:t>-</w:t>
      </w:r>
      <w:r w:rsidR="00A378EB" w:rsidRPr="00A378EB">
        <w:rPr>
          <w:bCs/>
          <w:iCs/>
        </w:rPr>
        <w:t>A</w:t>
      </w:r>
      <w:r w:rsidRPr="00A378EB">
        <w:rPr>
          <w:bCs/>
          <w:iCs/>
        </w:rPr>
        <w:t>,</w:t>
      </w:r>
      <w:r>
        <w:t xml:space="preserve"> and the following conditions.</w:t>
      </w:r>
    </w:p>
    <w:p w14:paraId="3CC95C26" w14:textId="77777777" w:rsidR="00EB5AE8" w:rsidRDefault="00EB5AE8" w:rsidP="00EB5AE8">
      <w:pPr>
        <w:pStyle w:val="BodyText"/>
      </w:pPr>
    </w:p>
    <w:p w14:paraId="13E0FC5E" w14:textId="77777777"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sidRPr="00A378EB">
        <w:rPr>
          <w:iCs/>
        </w:rPr>
        <w:t>Amendment</w:t>
      </w:r>
      <w:r>
        <w:rPr>
          <w:bCs/>
        </w:rPr>
        <w:t xml:space="preserve"> or part thereof </w:t>
      </w:r>
      <w:r w:rsidRPr="00E04021">
        <w:rPr>
          <w:bCs/>
        </w:rPr>
        <w:t xml:space="preserve">shall not affect the remainder of the provision or any other provisions. This License </w:t>
      </w:r>
      <w:r w:rsidRPr="00A378EB">
        <w:rPr>
          <w:iCs/>
        </w:rPr>
        <w:t>Amendment</w:t>
      </w:r>
      <w:r w:rsidRPr="00E04021">
        <w:rPr>
          <w:bCs/>
        </w:rPr>
        <w:t xml:space="preserv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393E5E77" w14:textId="77777777" w:rsidR="00EB5AE8" w:rsidRDefault="00EB5AE8" w:rsidP="00EB5AE8">
      <w:pPr>
        <w:autoSpaceDE w:val="0"/>
        <w:autoSpaceDN w:val="0"/>
        <w:adjustRightInd w:val="0"/>
        <w:rPr>
          <w:bCs/>
        </w:rPr>
      </w:pPr>
    </w:p>
    <w:p w14:paraId="0609DC7E" w14:textId="2952DA5E" w:rsidR="00EB5AE8" w:rsidRDefault="004C1A78" w:rsidP="004C1A78">
      <w:pPr>
        <w:pStyle w:val="OrderHead2"/>
      </w:pPr>
      <w:r>
        <w:t>SPECIFIC CONDITIONS</w:t>
      </w:r>
    </w:p>
    <w:p w14:paraId="435C9375" w14:textId="77777777" w:rsidR="00EB5AE8" w:rsidRDefault="00EB5AE8" w:rsidP="006E35A9">
      <w:pPr>
        <w:jc w:val="left"/>
      </w:pPr>
    </w:p>
    <w:p w14:paraId="1525E320" w14:textId="0D268636" w:rsidR="004C1A78" w:rsidRDefault="004C1A78" w:rsidP="004C1A78">
      <w:pPr>
        <w:rPr>
          <w:b/>
          <w:bCs/>
        </w:rPr>
      </w:pPr>
      <w:r>
        <w:rPr>
          <w:b/>
          <w:bCs/>
        </w:rPr>
        <w:t>The following shall replace</w:t>
      </w:r>
      <w:r w:rsidR="00037EE8">
        <w:rPr>
          <w:b/>
          <w:bCs/>
        </w:rPr>
        <w:t xml:space="preserve"> Sections (C), (D), and (G) of Specific</w:t>
      </w:r>
      <w:r>
        <w:rPr>
          <w:b/>
          <w:bCs/>
        </w:rPr>
        <w:t xml:space="preserve"> Condition (</w:t>
      </w:r>
      <w:r w:rsidR="00485ECE">
        <w:rPr>
          <w:b/>
          <w:bCs/>
        </w:rPr>
        <w:t>17</w:t>
      </w:r>
      <w:r>
        <w:rPr>
          <w:b/>
          <w:bCs/>
        </w:rPr>
        <w:t>)</w:t>
      </w:r>
      <w:r w:rsidR="00037EE8">
        <w:rPr>
          <w:b/>
          <w:bCs/>
        </w:rPr>
        <w:t xml:space="preserve"> </w:t>
      </w:r>
      <w:r>
        <w:rPr>
          <w:b/>
          <w:bCs/>
        </w:rPr>
        <w:t>of Air Emission License A-</w:t>
      </w:r>
      <w:r w:rsidR="00485ECE">
        <w:rPr>
          <w:b/>
          <w:bCs/>
        </w:rPr>
        <w:t>271</w:t>
      </w:r>
      <w:r>
        <w:rPr>
          <w:b/>
          <w:bCs/>
        </w:rPr>
        <w:t>-71-</w:t>
      </w:r>
      <w:r w:rsidR="00485ECE">
        <w:rPr>
          <w:b/>
          <w:bCs/>
        </w:rPr>
        <w:t>P</w:t>
      </w:r>
      <w:r>
        <w:rPr>
          <w:b/>
          <w:bCs/>
        </w:rPr>
        <w:t>-R</w:t>
      </w:r>
      <w:r w:rsidR="00485ECE">
        <w:rPr>
          <w:b/>
          <w:bCs/>
        </w:rPr>
        <w:t>/A</w:t>
      </w:r>
      <w:r w:rsidR="00037EE8">
        <w:rPr>
          <w:b/>
          <w:bCs/>
        </w:rPr>
        <w:t xml:space="preserve"> (3/13/2023) and as amended in Air Emission License Amendment A-271-71-R-A (9/2/2025)</w:t>
      </w:r>
      <w:r>
        <w:rPr>
          <w:b/>
          <w:bCs/>
        </w:rPr>
        <w:t>:</w:t>
      </w:r>
    </w:p>
    <w:p w14:paraId="6987029D" w14:textId="77777777" w:rsidR="004C1A78" w:rsidRDefault="004C1A78" w:rsidP="004C1A78">
      <w:pPr>
        <w:rPr>
          <w:b/>
          <w:bCs/>
        </w:rPr>
      </w:pPr>
    </w:p>
    <w:p w14:paraId="45356304" w14:textId="2A020E3A" w:rsidR="00EB5AE8" w:rsidRDefault="00485ECE" w:rsidP="00037EE8">
      <w:pPr>
        <w:pStyle w:val="OrderCondition"/>
        <w:ind w:left="720" w:hanging="720"/>
      </w:pPr>
      <w:r>
        <w:t>Fuel Burning Equipment</w:t>
      </w:r>
    </w:p>
    <w:p w14:paraId="2C2460A1" w14:textId="77777777" w:rsidR="004C1A78" w:rsidRDefault="004C1A78" w:rsidP="004C1A78">
      <w:pPr>
        <w:ind w:left="720"/>
      </w:pPr>
    </w:p>
    <w:p w14:paraId="0B56C75A" w14:textId="77777777" w:rsidR="004C1A78" w:rsidRDefault="004C1A78" w:rsidP="00485ECE">
      <w:pPr>
        <w:pStyle w:val="ListParagraph"/>
        <w:numPr>
          <w:ilvl w:val="0"/>
          <w:numId w:val="126"/>
        </w:numPr>
      </w:pPr>
      <w:r>
        <w:t>Emissions shall not exceed the following:</w:t>
      </w:r>
    </w:p>
    <w:p w14:paraId="1B2A8391" w14:textId="77777777" w:rsidR="004C1A78" w:rsidRDefault="004C1A78" w:rsidP="004C1A78">
      <w:pPr>
        <w:pStyle w:val="BodyText"/>
        <w:tabs>
          <w:tab w:val="left" w:pos="720"/>
        </w:tabs>
        <w:ind w:left="1080" w:hanging="1080"/>
      </w:pPr>
    </w:p>
    <w:tbl>
      <w:tblPr>
        <w:tblW w:w="954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667"/>
        <w:gridCol w:w="1473"/>
        <w:gridCol w:w="1170"/>
        <w:gridCol w:w="1260"/>
        <w:gridCol w:w="2970"/>
      </w:tblGrid>
      <w:tr w:rsidR="00660E5E" w14:paraId="46C99243" w14:textId="77777777" w:rsidTr="0094376B">
        <w:trPr>
          <w:tblHeader/>
        </w:trPr>
        <w:tc>
          <w:tcPr>
            <w:tcW w:w="2667" w:type="dxa"/>
            <w:shd w:val="clear" w:color="auto" w:fill="D9D9D9" w:themeFill="background1" w:themeFillShade="D9"/>
            <w:vAlign w:val="bottom"/>
          </w:tcPr>
          <w:p w14:paraId="49060A2C" w14:textId="77777777" w:rsidR="00660E5E" w:rsidRPr="00DB2DFD" w:rsidRDefault="00660E5E" w:rsidP="00444EDE">
            <w:pPr>
              <w:pStyle w:val="BodyText"/>
              <w:tabs>
                <w:tab w:val="left" w:pos="720"/>
              </w:tabs>
              <w:jc w:val="center"/>
              <w:rPr>
                <w:b/>
                <w:sz w:val="22"/>
                <w:szCs w:val="22"/>
              </w:rPr>
            </w:pPr>
            <w:r w:rsidRPr="00DB2DFD">
              <w:rPr>
                <w:b/>
                <w:sz w:val="22"/>
                <w:szCs w:val="22"/>
              </w:rPr>
              <w:t>Emission Unit</w:t>
            </w:r>
          </w:p>
        </w:tc>
        <w:tc>
          <w:tcPr>
            <w:tcW w:w="1473" w:type="dxa"/>
            <w:shd w:val="clear" w:color="auto" w:fill="D9D9D9" w:themeFill="background1" w:themeFillShade="D9"/>
          </w:tcPr>
          <w:p w14:paraId="381B2536" w14:textId="4B90DB1C" w:rsidR="00660E5E" w:rsidRPr="00DB2DFD" w:rsidRDefault="00660E5E" w:rsidP="00444EDE">
            <w:pPr>
              <w:pStyle w:val="BodyText"/>
              <w:tabs>
                <w:tab w:val="left" w:pos="720"/>
              </w:tabs>
              <w:jc w:val="center"/>
              <w:rPr>
                <w:b/>
                <w:sz w:val="22"/>
                <w:szCs w:val="22"/>
              </w:rPr>
            </w:pPr>
            <w:r>
              <w:rPr>
                <w:b/>
                <w:sz w:val="22"/>
                <w:szCs w:val="22"/>
              </w:rPr>
              <w:t>Fuel</w:t>
            </w:r>
          </w:p>
        </w:tc>
        <w:tc>
          <w:tcPr>
            <w:tcW w:w="1170" w:type="dxa"/>
            <w:shd w:val="clear" w:color="auto" w:fill="D9D9D9" w:themeFill="background1" w:themeFillShade="D9"/>
            <w:vAlign w:val="bottom"/>
          </w:tcPr>
          <w:p w14:paraId="07C1122E" w14:textId="1D8951FD" w:rsidR="00660E5E" w:rsidRPr="00DB2DFD" w:rsidRDefault="00660E5E" w:rsidP="00444EDE">
            <w:pPr>
              <w:pStyle w:val="BodyText"/>
              <w:tabs>
                <w:tab w:val="left" w:pos="720"/>
              </w:tabs>
              <w:jc w:val="center"/>
              <w:rPr>
                <w:b/>
                <w:sz w:val="22"/>
                <w:szCs w:val="22"/>
              </w:rPr>
            </w:pPr>
            <w:r w:rsidRPr="00DB2DFD">
              <w:rPr>
                <w:b/>
                <w:sz w:val="22"/>
                <w:szCs w:val="22"/>
              </w:rPr>
              <w:t>Pollutant</w:t>
            </w:r>
          </w:p>
        </w:tc>
        <w:tc>
          <w:tcPr>
            <w:tcW w:w="1260" w:type="dxa"/>
            <w:shd w:val="clear" w:color="auto" w:fill="D9D9D9" w:themeFill="background1" w:themeFillShade="D9"/>
            <w:vAlign w:val="bottom"/>
          </w:tcPr>
          <w:p w14:paraId="14E31A2C" w14:textId="77777777" w:rsidR="00660E5E" w:rsidRPr="00DB2DFD" w:rsidRDefault="00660E5E" w:rsidP="00444EDE">
            <w:pPr>
              <w:pStyle w:val="BodyText"/>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p>
        </w:tc>
        <w:tc>
          <w:tcPr>
            <w:tcW w:w="2970" w:type="dxa"/>
            <w:shd w:val="clear" w:color="auto" w:fill="D9D9D9" w:themeFill="background1" w:themeFillShade="D9"/>
            <w:vAlign w:val="bottom"/>
          </w:tcPr>
          <w:p w14:paraId="676FCAF2" w14:textId="77777777" w:rsidR="00660E5E" w:rsidRPr="00DB2DFD" w:rsidRDefault="00660E5E" w:rsidP="00444EDE">
            <w:pPr>
              <w:pStyle w:val="BodyText"/>
              <w:tabs>
                <w:tab w:val="left" w:pos="720"/>
              </w:tabs>
              <w:jc w:val="center"/>
              <w:rPr>
                <w:b/>
                <w:sz w:val="22"/>
                <w:szCs w:val="22"/>
              </w:rPr>
            </w:pPr>
            <w:r w:rsidRPr="00DB2DFD">
              <w:rPr>
                <w:b/>
                <w:sz w:val="22"/>
                <w:szCs w:val="22"/>
              </w:rPr>
              <w:t>Origin and Authority</w:t>
            </w:r>
          </w:p>
        </w:tc>
      </w:tr>
      <w:tr w:rsidR="00660E5E" w14:paraId="10918493" w14:textId="77777777" w:rsidTr="0094376B">
        <w:tc>
          <w:tcPr>
            <w:tcW w:w="2667" w:type="dxa"/>
            <w:vAlign w:val="center"/>
          </w:tcPr>
          <w:p w14:paraId="3DFCE0D8" w14:textId="3E7DD100" w:rsidR="00660E5E" w:rsidRPr="00DB2DFD" w:rsidRDefault="00660E5E" w:rsidP="00444EDE">
            <w:pPr>
              <w:pStyle w:val="BodyText"/>
              <w:tabs>
                <w:tab w:val="left" w:pos="720"/>
              </w:tabs>
              <w:jc w:val="left"/>
              <w:rPr>
                <w:sz w:val="22"/>
                <w:szCs w:val="22"/>
              </w:rPr>
            </w:pPr>
            <w:r w:rsidRPr="00DB2DFD">
              <w:rPr>
                <w:sz w:val="22"/>
                <w:szCs w:val="22"/>
              </w:rPr>
              <w:t>Boiler #</w:t>
            </w:r>
            <w:r>
              <w:rPr>
                <w:sz w:val="22"/>
                <w:szCs w:val="22"/>
              </w:rPr>
              <w:t>3</w:t>
            </w:r>
          </w:p>
        </w:tc>
        <w:tc>
          <w:tcPr>
            <w:tcW w:w="1473" w:type="dxa"/>
          </w:tcPr>
          <w:p w14:paraId="3F0FE076" w14:textId="6D1008B8"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294A8368" w14:textId="046F5B58" w:rsidR="00660E5E" w:rsidRPr="00DB2DFD" w:rsidRDefault="00660E5E" w:rsidP="00444EDE">
            <w:pPr>
              <w:pStyle w:val="BodyText"/>
              <w:tabs>
                <w:tab w:val="left" w:pos="720"/>
              </w:tabs>
              <w:jc w:val="center"/>
              <w:rPr>
                <w:sz w:val="22"/>
                <w:szCs w:val="22"/>
              </w:rPr>
            </w:pPr>
            <w:r w:rsidRPr="00DB2DFD">
              <w:rPr>
                <w:sz w:val="22"/>
                <w:szCs w:val="22"/>
              </w:rPr>
              <w:t>PM</w:t>
            </w:r>
          </w:p>
        </w:tc>
        <w:tc>
          <w:tcPr>
            <w:tcW w:w="1260" w:type="dxa"/>
            <w:vAlign w:val="center"/>
          </w:tcPr>
          <w:p w14:paraId="2A9FE474" w14:textId="0AF4FE18"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530C0E68" w14:textId="1FBE0BF1" w:rsidR="00660E5E" w:rsidRPr="00DB2DFD" w:rsidRDefault="00660E5E" w:rsidP="00444EDE">
            <w:pPr>
              <w:pStyle w:val="BodyText"/>
              <w:tabs>
                <w:tab w:val="left" w:pos="720"/>
              </w:tabs>
              <w:jc w:val="center"/>
              <w:rPr>
                <w:sz w:val="22"/>
                <w:szCs w:val="22"/>
              </w:rPr>
            </w:pPr>
            <w:r w:rsidRPr="00DB2DFD">
              <w:rPr>
                <w:sz w:val="22"/>
                <w:szCs w:val="22"/>
              </w:rPr>
              <w:t>06-096 C.M.R. ch. 115, BACT</w:t>
            </w:r>
          </w:p>
        </w:tc>
      </w:tr>
      <w:tr w:rsidR="00660E5E" w14:paraId="5CD4D7B0" w14:textId="77777777" w:rsidTr="0094376B">
        <w:tc>
          <w:tcPr>
            <w:tcW w:w="2667" w:type="dxa"/>
            <w:vAlign w:val="center"/>
          </w:tcPr>
          <w:p w14:paraId="621E3928" w14:textId="13381BB0" w:rsidR="00660E5E" w:rsidRPr="00DB2DFD" w:rsidRDefault="00660E5E" w:rsidP="00444EDE">
            <w:pPr>
              <w:pStyle w:val="BodyText"/>
              <w:tabs>
                <w:tab w:val="left" w:pos="720"/>
              </w:tabs>
              <w:jc w:val="left"/>
              <w:rPr>
                <w:sz w:val="22"/>
                <w:szCs w:val="22"/>
              </w:rPr>
            </w:pPr>
            <w:r>
              <w:rPr>
                <w:sz w:val="22"/>
                <w:szCs w:val="22"/>
              </w:rPr>
              <w:t>Boiler #8</w:t>
            </w:r>
          </w:p>
        </w:tc>
        <w:tc>
          <w:tcPr>
            <w:tcW w:w="1473" w:type="dxa"/>
          </w:tcPr>
          <w:p w14:paraId="5A62CC9F" w14:textId="2C59E3A6" w:rsidR="00660E5E" w:rsidRPr="00DB2DFD" w:rsidRDefault="00660E5E" w:rsidP="00444EDE">
            <w:pPr>
              <w:pStyle w:val="BodyText"/>
              <w:tabs>
                <w:tab w:val="left" w:pos="720"/>
              </w:tabs>
              <w:jc w:val="center"/>
              <w:rPr>
                <w:sz w:val="22"/>
                <w:szCs w:val="22"/>
              </w:rPr>
            </w:pPr>
            <w:r>
              <w:rPr>
                <w:sz w:val="22"/>
                <w:szCs w:val="22"/>
              </w:rPr>
              <w:t>Distillate Fuel</w:t>
            </w:r>
          </w:p>
        </w:tc>
        <w:tc>
          <w:tcPr>
            <w:tcW w:w="1170" w:type="dxa"/>
            <w:vAlign w:val="center"/>
          </w:tcPr>
          <w:p w14:paraId="3C8393BD" w14:textId="2C1647C5"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1EC79C31" w14:textId="34BB09EF"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6ABFD82B" w14:textId="0E7FB647"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255DF6B7" w14:textId="77777777" w:rsidTr="0094376B">
        <w:tc>
          <w:tcPr>
            <w:tcW w:w="2667" w:type="dxa"/>
            <w:vAlign w:val="center"/>
          </w:tcPr>
          <w:p w14:paraId="6F93DB63" w14:textId="7E4DCA65" w:rsidR="00660E5E" w:rsidRPr="00DB2DFD" w:rsidRDefault="00660E5E" w:rsidP="00444EDE">
            <w:pPr>
              <w:pStyle w:val="BodyText"/>
              <w:tabs>
                <w:tab w:val="left" w:pos="720"/>
              </w:tabs>
              <w:jc w:val="left"/>
              <w:rPr>
                <w:sz w:val="22"/>
                <w:szCs w:val="22"/>
              </w:rPr>
            </w:pPr>
            <w:r>
              <w:rPr>
                <w:sz w:val="22"/>
                <w:szCs w:val="22"/>
              </w:rPr>
              <w:t>Boiler #8</w:t>
            </w:r>
          </w:p>
        </w:tc>
        <w:tc>
          <w:tcPr>
            <w:tcW w:w="1473" w:type="dxa"/>
          </w:tcPr>
          <w:p w14:paraId="075B3337" w14:textId="7D62CAD4" w:rsidR="00660E5E" w:rsidRPr="00DB2DFD" w:rsidRDefault="00660E5E" w:rsidP="00444EDE">
            <w:pPr>
              <w:pStyle w:val="BodyText"/>
              <w:tabs>
                <w:tab w:val="left" w:pos="720"/>
              </w:tabs>
              <w:jc w:val="center"/>
              <w:rPr>
                <w:sz w:val="22"/>
                <w:szCs w:val="22"/>
              </w:rPr>
            </w:pPr>
            <w:r>
              <w:rPr>
                <w:sz w:val="22"/>
                <w:szCs w:val="22"/>
              </w:rPr>
              <w:t>Distillate Fuel</w:t>
            </w:r>
          </w:p>
        </w:tc>
        <w:tc>
          <w:tcPr>
            <w:tcW w:w="1170" w:type="dxa"/>
            <w:vAlign w:val="center"/>
          </w:tcPr>
          <w:p w14:paraId="165456DC" w14:textId="63871D11" w:rsidR="00660E5E" w:rsidRPr="00660E5E" w:rsidRDefault="00660E5E" w:rsidP="00444EDE">
            <w:pPr>
              <w:pStyle w:val="BodyText"/>
              <w:tabs>
                <w:tab w:val="left" w:pos="720"/>
              </w:tabs>
              <w:jc w:val="center"/>
              <w:rPr>
                <w:sz w:val="22"/>
                <w:szCs w:val="22"/>
                <w:vertAlign w:val="subscript"/>
              </w:rPr>
            </w:pPr>
            <w:r>
              <w:rPr>
                <w:sz w:val="22"/>
                <w:szCs w:val="22"/>
              </w:rPr>
              <w:t>PM</w:t>
            </w:r>
            <w:r>
              <w:rPr>
                <w:sz w:val="22"/>
                <w:szCs w:val="22"/>
                <w:vertAlign w:val="subscript"/>
              </w:rPr>
              <w:t>10</w:t>
            </w:r>
          </w:p>
        </w:tc>
        <w:tc>
          <w:tcPr>
            <w:tcW w:w="1260" w:type="dxa"/>
            <w:vAlign w:val="center"/>
          </w:tcPr>
          <w:p w14:paraId="3C94ECFF" w14:textId="21678E17" w:rsidR="00660E5E" w:rsidRPr="00DB2DFD" w:rsidRDefault="00660E5E" w:rsidP="00444EDE">
            <w:pPr>
              <w:pStyle w:val="BodyText"/>
              <w:tabs>
                <w:tab w:val="left" w:pos="720"/>
              </w:tabs>
              <w:jc w:val="center"/>
              <w:rPr>
                <w:sz w:val="22"/>
                <w:szCs w:val="22"/>
              </w:rPr>
            </w:pPr>
            <w:r>
              <w:rPr>
                <w:sz w:val="22"/>
                <w:szCs w:val="22"/>
              </w:rPr>
              <w:t>0.03</w:t>
            </w:r>
          </w:p>
        </w:tc>
        <w:tc>
          <w:tcPr>
            <w:tcW w:w="2970" w:type="dxa"/>
            <w:vAlign w:val="center"/>
          </w:tcPr>
          <w:p w14:paraId="3854B985" w14:textId="1F66BC2E"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1CAB381A" w14:textId="77777777" w:rsidTr="0094376B">
        <w:tc>
          <w:tcPr>
            <w:tcW w:w="2667" w:type="dxa"/>
            <w:vAlign w:val="center"/>
          </w:tcPr>
          <w:p w14:paraId="71CC877E" w14:textId="4FB421B4" w:rsidR="00660E5E" w:rsidRPr="00DB2DFD" w:rsidRDefault="00660E5E" w:rsidP="00444EDE">
            <w:pPr>
              <w:pStyle w:val="BodyText"/>
              <w:tabs>
                <w:tab w:val="left" w:pos="720"/>
              </w:tabs>
              <w:jc w:val="left"/>
              <w:rPr>
                <w:sz w:val="22"/>
                <w:szCs w:val="22"/>
              </w:rPr>
            </w:pPr>
            <w:r>
              <w:rPr>
                <w:sz w:val="22"/>
                <w:szCs w:val="22"/>
              </w:rPr>
              <w:t>Boiler #8</w:t>
            </w:r>
          </w:p>
        </w:tc>
        <w:tc>
          <w:tcPr>
            <w:tcW w:w="1473" w:type="dxa"/>
          </w:tcPr>
          <w:p w14:paraId="3324304F" w14:textId="13CBA86B"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4E76D838" w14:textId="606EFFEC"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4051C877" w14:textId="19EAAB30" w:rsidR="00660E5E" w:rsidRPr="00DB2DFD" w:rsidRDefault="00660E5E" w:rsidP="00444EDE">
            <w:pPr>
              <w:pStyle w:val="BodyText"/>
              <w:tabs>
                <w:tab w:val="left" w:pos="720"/>
              </w:tabs>
              <w:jc w:val="center"/>
              <w:rPr>
                <w:sz w:val="22"/>
                <w:szCs w:val="22"/>
              </w:rPr>
            </w:pPr>
            <w:r>
              <w:rPr>
                <w:sz w:val="22"/>
                <w:szCs w:val="22"/>
              </w:rPr>
              <w:t>0.03</w:t>
            </w:r>
          </w:p>
        </w:tc>
        <w:tc>
          <w:tcPr>
            <w:tcW w:w="2970" w:type="dxa"/>
            <w:vAlign w:val="center"/>
          </w:tcPr>
          <w:p w14:paraId="1C845B31" w14:textId="4149DC3C"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7C94FFEA" w14:textId="77777777" w:rsidTr="0094376B">
        <w:tc>
          <w:tcPr>
            <w:tcW w:w="2667" w:type="dxa"/>
            <w:vAlign w:val="center"/>
          </w:tcPr>
          <w:p w14:paraId="1FF011C4" w14:textId="4C7DC7D6" w:rsidR="00660E5E" w:rsidRPr="00DB2DFD" w:rsidRDefault="00660E5E" w:rsidP="00444EDE">
            <w:pPr>
              <w:pStyle w:val="BodyText"/>
              <w:tabs>
                <w:tab w:val="left" w:pos="720"/>
              </w:tabs>
              <w:jc w:val="left"/>
              <w:rPr>
                <w:sz w:val="22"/>
                <w:szCs w:val="22"/>
              </w:rPr>
            </w:pPr>
            <w:r>
              <w:rPr>
                <w:sz w:val="22"/>
                <w:szCs w:val="22"/>
              </w:rPr>
              <w:t>Boiler #8</w:t>
            </w:r>
          </w:p>
        </w:tc>
        <w:tc>
          <w:tcPr>
            <w:tcW w:w="1473" w:type="dxa"/>
          </w:tcPr>
          <w:p w14:paraId="4C2CFEA4" w14:textId="2113C1A7"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57E64DB0" w14:textId="6BEDB470" w:rsidR="00660E5E" w:rsidRPr="00DB2DFD" w:rsidRDefault="00660E5E" w:rsidP="00444EDE">
            <w:pPr>
              <w:pStyle w:val="BodyText"/>
              <w:tabs>
                <w:tab w:val="left" w:pos="720"/>
              </w:tabs>
              <w:jc w:val="center"/>
              <w:rPr>
                <w:sz w:val="22"/>
                <w:szCs w:val="22"/>
              </w:rPr>
            </w:pPr>
            <w:r>
              <w:rPr>
                <w:sz w:val="22"/>
                <w:szCs w:val="22"/>
              </w:rPr>
              <w:t>PM</w:t>
            </w:r>
            <w:r>
              <w:rPr>
                <w:sz w:val="22"/>
                <w:szCs w:val="22"/>
                <w:vertAlign w:val="subscript"/>
              </w:rPr>
              <w:t>10</w:t>
            </w:r>
          </w:p>
        </w:tc>
        <w:tc>
          <w:tcPr>
            <w:tcW w:w="1260" w:type="dxa"/>
            <w:vAlign w:val="center"/>
          </w:tcPr>
          <w:p w14:paraId="393F4FB3" w14:textId="14E6FFA2" w:rsidR="00660E5E" w:rsidRPr="00DB2DFD" w:rsidRDefault="00660E5E" w:rsidP="00444EDE">
            <w:pPr>
              <w:pStyle w:val="BodyText"/>
              <w:tabs>
                <w:tab w:val="left" w:pos="720"/>
              </w:tabs>
              <w:jc w:val="center"/>
              <w:rPr>
                <w:sz w:val="22"/>
                <w:szCs w:val="22"/>
              </w:rPr>
            </w:pPr>
            <w:r>
              <w:rPr>
                <w:sz w:val="22"/>
                <w:szCs w:val="22"/>
              </w:rPr>
              <w:t>0.03</w:t>
            </w:r>
          </w:p>
        </w:tc>
        <w:tc>
          <w:tcPr>
            <w:tcW w:w="2970" w:type="dxa"/>
            <w:vAlign w:val="center"/>
          </w:tcPr>
          <w:p w14:paraId="4CE15C0B" w14:textId="45A2EB91"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2D192A34" w14:textId="77777777" w:rsidTr="0094376B">
        <w:tc>
          <w:tcPr>
            <w:tcW w:w="2667" w:type="dxa"/>
            <w:vAlign w:val="center"/>
          </w:tcPr>
          <w:p w14:paraId="3F1A5D2D" w14:textId="7854D289" w:rsidR="00660E5E" w:rsidRPr="00DB2DFD" w:rsidRDefault="00660E5E" w:rsidP="00444EDE">
            <w:pPr>
              <w:pStyle w:val="BodyText"/>
              <w:tabs>
                <w:tab w:val="left" w:pos="720"/>
              </w:tabs>
              <w:jc w:val="left"/>
              <w:rPr>
                <w:sz w:val="22"/>
                <w:szCs w:val="22"/>
              </w:rPr>
            </w:pPr>
            <w:r>
              <w:rPr>
                <w:sz w:val="22"/>
                <w:szCs w:val="22"/>
              </w:rPr>
              <w:t>AH-1</w:t>
            </w:r>
          </w:p>
        </w:tc>
        <w:tc>
          <w:tcPr>
            <w:tcW w:w="1473" w:type="dxa"/>
          </w:tcPr>
          <w:p w14:paraId="0EDC8020" w14:textId="0DF8E981"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7175647B" w14:textId="2238ADBA"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3F9CBA6B" w14:textId="65FF67F4"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7AA87EE6" w14:textId="0A66BF41"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2AF2E246" w14:textId="77777777" w:rsidTr="0094376B">
        <w:tc>
          <w:tcPr>
            <w:tcW w:w="2667" w:type="dxa"/>
            <w:vAlign w:val="center"/>
          </w:tcPr>
          <w:p w14:paraId="638D0BB1" w14:textId="6E47CBF4" w:rsidR="00660E5E" w:rsidRPr="00DB2DFD" w:rsidRDefault="00660E5E" w:rsidP="00444EDE">
            <w:pPr>
              <w:pStyle w:val="BodyText"/>
              <w:tabs>
                <w:tab w:val="left" w:pos="720"/>
              </w:tabs>
              <w:jc w:val="left"/>
              <w:rPr>
                <w:sz w:val="22"/>
                <w:szCs w:val="22"/>
              </w:rPr>
            </w:pPr>
            <w:r>
              <w:rPr>
                <w:sz w:val="22"/>
                <w:szCs w:val="22"/>
              </w:rPr>
              <w:t>AH-2</w:t>
            </w:r>
          </w:p>
        </w:tc>
        <w:tc>
          <w:tcPr>
            <w:tcW w:w="1473" w:type="dxa"/>
          </w:tcPr>
          <w:p w14:paraId="7DCCA6CA" w14:textId="2122B86E"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3506691B" w14:textId="736D86B8"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51FB088D" w14:textId="433219E8"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2683D799" w14:textId="701F1C91"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0F65C502" w14:textId="77777777" w:rsidTr="0094376B">
        <w:tc>
          <w:tcPr>
            <w:tcW w:w="2667" w:type="dxa"/>
            <w:vAlign w:val="center"/>
          </w:tcPr>
          <w:p w14:paraId="794947D1" w14:textId="100C94F7" w:rsidR="00660E5E" w:rsidRPr="00DB2DFD" w:rsidRDefault="00660E5E" w:rsidP="00444EDE">
            <w:pPr>
              <w:pStyle w:val="BodyText"/>
              <w:tabs>
                <w:tab w:val="left" w:pos="720"/>
              </w:tabs>
              <w:jc w:val="left"/>
              <w:rPr>
                <w:sz w:val="22"/>
                <w:szCs w:val="22"/>
              </w:rPr>
            </w:pPr>
            <w:r>
              <w:rPr>
                <w:sz w:val="22"/>
                <w:szCs w:val="22"/>
              </w:rPr>
              <w:t>SFAB Heat Treat Furnace</w:t>
            </w:r>
          </w:p>
        </w:tc>
        <w:tc>
          <w:tcPr>
            <w:tcW w:w="1473" w:type="dxa"/>
          </w:tcPr>
          <w:p w14:paraId="198CD350" w14:textId="520C268B" w:rsidR="00660E5E" w:rsidRPr="00DB2DFD" w:rsidRDefault="00660E5E" w:rsidP="00444EDE">
            <w:pPr>
              <w:pStyle w:val="BodyText"/>
              <w:tabs>
                <w:tab w:val="left" w:pos="720"/>
              </w:tabs>
              <w:jc w:val="center"/>
              <w:rPr>
                <w:sz w:val="22"/>
                <w:szCs w:val="22"/>
              </w:rPr>
            </w:pPr>
            <w:r>
              <w:rPr>
                <w:sz w:val="22"/>
                <w:szCs w:val="22"/>
              </w:rPr>
              <w:t>Distillate Fuel</w:t>
            </w:r>
          </w:p>
        </w:tc>
        <w:tc>
          <w:tcPr>
            <w:tcW w:w="1170" w:type="dxa"/>
            <w:vAlign w:val="center"/>
          </w:tcPr>
          <w:p w14:paraId="0B551138" w14:textId="4BD62BFE"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59824139" w14:textId="1C1359AB" w:rsidR="00660E5E" w:rsidRPr="00DB2DFD" w:rsidRDefault="00660E5E" w:rsidP="00444EDE">
            <w:pPr>
              <w:pStyle w:val="BodyText"/>
              <w:tabs>
                <w:tab w:val="left" w:pos="720"/>
              </w:tabs>
              <w:jc w:val="center"/>
              <w:rPr>
                <w:sz w:val="22"/>
                <w:szCs w:val="22"/>
              </w:rPr>
            </w:pPr>
            <w:r>
              <w:rPr>
                <w:sz w:val="22"/>
                <w:szCs w:val="22"/>
              </w:rPr>
              <w:t>0.12</w:t>
            </w:r>
          </w:p>
        </w:tc>
        <w:tc>
          <w:tcPr>
            <w:tcW w:w="2970" w:type="dxa"/>
            <w:vAlign w:val="center"/>
          </w:tcPr>
          <w:p w14:paraId="750D042A" w14:textId="660757E3"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75C0868D" w14:textId="77777777" w:rsidTr="0094376B">
        <w:tc>
          <w:tcPr>
            <w:tcW w:w="2667" w:type="dxa"/>
            <w:vAlign w:val="center"/>
          </w:tcPr>
          <w:p w14:paraId="32B42AF0" w14:textId="11C88AF5" w:rsidR="00660E5E" w:rsidRPr="00DB2DFD" w:rsidRDefault="00660E5E" w:rsidP="00444EDE">
            <w:pPr>
              <w:pStyle w:val="BodyText"/>
              <w:tabs>
                <w:tab w:val="left" w:pos="720"/>
              </w:tabs>
              <w:jc w:val="left"/>
              <w:rPr>
                <w:sz w:val="22"/>
                <w:szCs w:val="22"/>
              </w:rPr>
            </w:pPr>
            <w:r>
              <w:rPr>
                <w:sz w:val="22"/>
                <w:szCs w:val="22"/>
              </w:rPr>
              <w:t>SFAB Preheat Oven #1</w:t>
            </w:r>
          </w:p>
        </w:tc>
        <w:tc>
          <w:tcPr>
            <w:tcW w:w="1473" w:type="dxa"/>
          </w:tcPr>
          <w:p w14:paraId="163B0523" w14:textId="4C0A2123"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44E0089D" w14:textId="72627F85"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61B73730" w14:textId="7418A601"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4CCD2991" w14:textId="118892BF"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1F315E1E" w14:textId="77777777" w:rsidTr="0094376B">
        <w:tc>
          <w:tcPr>
            <w:tcW w:w="2667" w:type="dxa"/>
            <w:vAlign w:val="center"/>
          </w:tcPr>
          <w:p w14:paraId="2D5B8581" w14:textId="6D085843" w:rsidR="00660E5E" w:rsidRDefault="00660E5E" w:rsidP="00444EDE">
            <w:pPr>
              <w:pStyle w:val="BodyText"/>
              <w:tabs>
                <w:tab w:val="left" w:pos="720"/>
              </w:tabs>
              <w:jc w:val="left"/>
              <w:rPr>
                <w:sz w:val="22"/>
                <w:szCs w:val="22"/>
              </w:rPr>
            </w:pPr>
            <w:r>
              <w:rPr>
                <w:sz w:val="22"/>
                <w:szCs w:val="22"/>
              </w:rPr>
              <w:t>SFAB Preheat Oven #2</w:t>
            </w:r>
          </w:p>
        </w:tc>
        <w:tc>
          <w:tcPr>
            <w:tcW w:w="1473" w:type="dxa"/>
          </w:tcPr>
          <w:p w14:paraId="5EE5C571" w14:textId="3BA61900"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2B1D6F72" w14:textId="47C2FFC3"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23492A21" w14:textId="70A57490"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48E1F2EE" w14:textId="69B8AF30"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3631A1A1" w14:textId="77777777" w:rsidTr="0094376B">
        <w:tc>
          <w:tcPr>
            <w:tcW w:w="2667" w:type="dxa"/>
            <w:vAlign w:val="center"/>
          </w:tcPr>
          <w:p w14:paraId="03BB4AD5" w14:textId="7AE46560" w:rsidR="00660E5E" w:rsidRDefault="00660E5E" w:rsidP="00444EDE">
            <w:pPr>
              <w:pStyle w:val="BodyText"/>
              <w:tabs>
                <w:tab w:val="left" w:pos="720"/>
              </w:tabs>
              <w:jc w:val="left"/>
              <w:rPr>
                <w:sz w:val="22"/>
                <w:szCs w:val="22"/>
              </w:rPr>
            </w:pPr>
            <w:r>
              <w:rPr>
                <w:sz w:val="22"/>
                <w:szCs w:val="22"/>
              </w:rPr>
              <w:t>SFAB Drying Oven</w:t>
            </w:r>
          </w:p>
        </w:tc>
        <w:tc>
          <w:tcPr>
            <w:tcW w:w="1473" w:type="dxa"/>
          </w:tcPr>
          <w:p w14:paraId="03A2ADCF" w14:textId="6E19F44E"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43328A5F" w14:textId="1EDAABCA"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04F332CF" w14:textId="1675B06D"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00F0EFF1" w14:textId="5A6C1155"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1F253CFD" w14:textId="77777777" w:rsidTr="0094376B">
        <w:tc>
          <w:tcPr>
            <w:tcW w:w="2667" w:type="dxa"/>
            <w:vAlign w:val="center"/>
          </w:tcPr>
          <w:p w14:paraId="14F71404" w14:textId="698731D8" w:rsidR="00660E5E" w:rsidRDefault="00660E5E" w:rsidP="00444EDE">
            <w:pPr>
              <w:pStyle w:val="BodyText"/>
              <w:tabs>
                <w:tab w:val="left" w:pos="720"/>
              </w:tabs>
              <w:jc w:val="left"/>
              <w:rPr>
                <w:sz w:val="22"/>
                <w:szCs w:val="22"/>
              </w:rPr>
            </w:pPr>
            <w:r>
              <w:rPr>
                <w:sz w:val="22"/>
                <w:szCs w:val="22"/>
              </w:rPr>
              <w:t>OFAB Makeup Air Unit #1</w:t>
            </w:r>
          </w:p>
        </w:tc>
        <w:tc>
          <w:tcPr>
            <w:tcW w:w="1473" w:type="dxa"/>
          </w:tcPr>
          <w:p w14:paraId="00BF9505" w14:textId="74BE5655"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65C789CF" w14:textId="45FD36F4"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32FEB86B" w14:textId="3BFDFFAB"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70F5C220" w14:textId="2281FB99" w:rsidR="00660E5E" w:rsidRPr="00DB2DFD" w:rsidRDefault="00660E5E" w:rsidP="00444EDE">
            <w:pPr>
              <w:pStyle w:val="BodyText"/>
              <w:tabs>
                <w:tab w:val="left" w:pos="720"/>
              </w:tabs>
              <w:jc w:val="center"/>
              <w:rPr>
                <w:sz w:val="22"/>
                <w:szCs w:val="22"/>
              </w:rPr>
            </w:pPr>
            <w:r w:rsidRPr="00DB2DFD">
              <w:rPr>
                <w:sz w:val="22"/>
                <w:szCs w:val="22"/>
              </w:rPr>
              <w:t>06-096 C.M.R. ch. 115, BPT</w:t>
            </w:r>
          </w:p>
        </w:tc>
      </w:tr>
      <w:tr w:rsidR="00660E5E" w14:paraId="136B5BF6" w14:textId="77777777" w:rsidTr="0094376B">
        <w:tc>
          <w:tcPr>
            <w:tcW w:w="2667" w:type="dxa"/>
            <w:vAlign w:val="center"/>
          </w:tcPr>
          <w:p w14:paraId="3E80F616" w14:textId="697F519B" w:rsidR="00660E5E" w:rsidRDefault="00660E5E" w:rsidP="00444EDE">
            <w:pPr>
              <w:pStyle w:val="BodyText"/>
              <w:tabs>
                <w:tab w:val="left" w:pos="720"/>
              </w:tabs>
              <w:jc w:val="left"/>
              <w:rPr>
                <w:sz w:val="22"/>
                <w:szCs w:val="22"/>
              </w:rPr>
            </w:pPr>
            <w:r>
              <w:rPr>
                <w:sz w:val="22"/>
                <w:szCs w:val="22"/>
              </w:rPr>
              <w:t>OFAB Makeup Air Unit #2</w:t>
            </w:r>
          </w:p>
        </w:tc>
        <w:tc>
          <w:tcPr>
            <w:tcW w:w="1473" w:type="dxa"/>
          </w:tcPr>
          <w:p w14:paraId="222EBF44" w14:textId="450300C7" w:rsidR="00660E5E" w:rsidRPr="00DB2DFD" w:rsidRDefault="00660E5E" w:rsidP="00444EDE">
            <w:pPr>
              <w:pStyle w:val="BodyText"/>
              <w:tabs>
                <w:tab w:val="left" w:pos="720"/>
              </w:tabs>
              <w:jc w:val="center"/>
              <w:rPr>
                <w:sz w:val="22"/>
                <w:szCs w:val="22"/>
              </w:rPr>
            </w:pPr>
            <w:r>
              <w:rPr>
                <w:sz w:val="22"/>
                <w:szCs w:val="22"/>
              </w:rPr>
              <w:t>Natural Gas</w:t>
            </w:r>
          </w:p>
        </w:tc>
        <w:tc>
          <w:tcPr>
            <w:tcW w:w="1170" w:type="dxa"/>
            <w:vAlign w:val="center"/>
          </w:tcPr>
          <w:p w14:paraId="746D6E19" w14:textId="1E320EED" w:rsidR="00660E5E" w:rsidRPr="00DB2DFD" w:rsidRDefault="00660E5E" w:rsidP="00444EDE">
            <w:pPr>
              <w:pStyle w:val="BodyText"/>
              <w:tabs>
                <w:tab w:val="left" w:pos="720"/>
              </w:tabs>
              <w:jc w:val="center"/>
              <w:rPr>
                <w:sz w:val="22"/>
                <w:szCs w:val="22"/>
              </w:rPr>
            </w:pPr>
            <w:r>
              <w:rPr>
                <w:sz w:val="22"/>
                <w:szCs w:val="22"/>
              </w:rPr>
              <w:t>PM</w:t>
            </w:r>
          </w:p>
        </w:tc>
        <w:tc>
          <w:tcPr>
            <w:tcW w:w="1260" w:type="dxa"/>
            <w:vAlign w:val="center"/>
          </w:tcPr>
          <w:p w14:paraId="2525B98F" w14:textId="1A461432" w:rsidR="00660E5E" w:rsidRPr="00DB2DFD" w:rsidRDefault="00660E5E" w:rsidP="00444EDE">
            <w:pPr>
              <w:pStyle w:val="BodyText"/>
              <w:tabs>
                <w:tab w:val="left" w:pos="720"/>
              </w:tabs>
              <w:jc w:val="center"/>
              <w:rPr>
                <w:sz w:val="22"/>
                <w:szCs w:val="22"/>
              </w:rPr>
            </w:pPr>
            <w:r>
              <w:rPr>
                <w:sz w:val="22"/>
                <w:szCs w:val="22"/>
              </w:rPr>
              <w:t>0.05</w:t>
            </w:r>
          </w:p>
        </w:tc>
        <w:tc>
          <w:tcPr>
            <w:tcW w:w="2970" w:type="dxa"/>
            <w:vAlign w:val="center"/>
          </w:tcPr>
          <w:p w14:paraId="334C5BD2" w14:textId="6BEBBC80" w:rsidR="00660E5E" w:rsidRPr="00DB2DFD" w:rsidRDefault="00660E5E" w:rsidP="00444EDE">
            <w:pPr>
              <w:pStyle w:val="BodyText"/>
              <w:tabs>
                <w:tab w:val="left" w:pos="720"/>
              </w:tabs>
              <w:jc w:val="center"/>
              <w:rPr>
                <w:sz w:val="22"/>
                <w:szCs w:val="22"/>
              </w:rPr>
            </w:pPr>
            <w:r w:rsidRPr="00DB2DFD">
              <w:rPr>
                <w:sz w:val="22"/>
                <w:szCs w:val="22"/>
              </w:rPr>
              <w:t>06-096 C.M.R. ch. 115, BPT</w:t>
            </w:r>
          </w:p>
        </w:tc>
      </w:tr>
    </w:tbl>
    <w:p w14:paraId="3997B83F" w14:textId="77777777" w:rsidR="004C1A78" w:rsidRDefault="004C1A78" w:rsidP="004C1A78"/>
    <w:p w14:paraId="0C840F3F" w14:textId="6C13FC1D" w:rsidR="004C1A78" w:rsidRDefault="004C1A78" w:rsidP="00485ECE">
      <w:pPr>
        <w:pStyle w:val="ListParagraph"/>
        <w:numPr>
          <w:ilvl w:val="0"/>
          <w:numId w:val="126"/>
        </w:numPr>
      </w:pPr>
      <w:r>
        <w:lastRenderedPageBreak/>
        <w:t xml:space="preserve">Emissions shall not exceed the following [06-096 C.M.R. ch. 115, </w:t>
      </w:r>
      <w:r w:rsidRPr="00B8055A">
        <w:t>BACT</w:t>
      </w:r>
      <w:r w:rsidR="008A1431">
        <w:t xml:space="preserve"> for Boiler #3, Steam Boiler #1, Door Shop Furnace, and Quonset Hut Furnace; </w:t>
      </w:r>
      <w:r w:rsidR="00037EE8">
        <w:t xml:space="preserve">06-096 C.M.R. ch. 115, </w:t>
      </w:r>
      <w:r w:rsidR="008A1431">
        <w:t>BPT for all other units</w:t>
      </w:r>
      <w:r>
        <w:t>]:</w:t>
      </w:r>
    </w:p>
    <w:p w14:paraId="4149ACDE" w14:textId="77777777" w:rsidR="004C1A78" w:rsidRDefault="004C1A78" w:rsidP="004C1A78"/>
    <w:tbl>
      <w:tblPr>
        <w:tblW w:w="932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610"/>
        <w:gridCol w:w="959"/>
        <w:gridCol w:w="959"/>
        <w:gridCol w:w="960"/>
        <w:gridCol w:w="959"/>
        <w:gridCol w:w="960"/>
        <w:gridCol w:w="959"/>
        <w:gridCol w:w="960"/>
      </w:tblGrid>
      <w:tr w:rsidR="004C1A78" w14:paraId="28A7EBDA" w14:textId="77777777" w:rsidTr="008A1431">
        <w:trPr>
          <w:tblHeader/>
        </w:trPr>
        <w:tc>
          <w:tcPr>
            <w:tcW w:w="2610" w:type="dxa"/>
            <w:shd w:val="clear" w:color="auto" w:fill="D9D9D9" w:themeFill="background1" w:themeFillShade="D9"/>
            <w:vAlign w:val="bottom"/>
          </w:tcPr>
          <w:p w14:paraId="42799757" w14:textId="77777777" w:rsidR="004C1A78" w:rsidRPr="00DB2DFD" w:rsidRDefault="004C1A78" w:rsidP="00444EDE">
            <w:pPr>
              <w:jc w:val="center"/>
              <w:rPr>
                <w:b/>
                <w:sz w:val="22"/>
                <w:szCs w:val="22"/>
              </w:rPr>
            </w:pPr>
            <w:r w:rsidRPr="00DB2DFD">
              <w:rPr>
                <w:b/>
                <w:sz w:val="22"/>
                <w:szCs w:val="22"/>
              </w:rPr>
              <w:t>Emission Unit</w:t>
            </w:r>
          </w:p>
        </w:tc>
        <w:tc>
          <w:tcPr>
            <w:tcW w:w="959" w:type="dxa"/>
            <w:shd w:val="clear" w:color="auto" w:fill="D9D9D9" w:themeFill="background1" w:themeFillShade="D9"/>
            <w:vAlign w:val="bottom"/>
          </w:tcPr>
          <w:p w14:paraId="4DAFC483" w14:textId="77777777" w:rsidR="004C1A78" w:rsidRPr="00DB2DFD" w:rsidRDefault="004C1A78" w:rsidP="00444EDE">
            <w:pPr>
              <w:jc w:val="center"/>
              <w:rPr>
                <w:b/>
                <w:sz w:val="22"/>
                <w:szCs w:val="22"/>
              </w:rPr>
            </w:pPr>
            <w:r w:rsidRPr="00DB2DFD">
              <w:rPr>
                <w:b/>
                <w:sz w:val="22"/>
                <w:szCs w:val="22"/>
              </w:rPr>
              <w:t>PM</w:t>
            </w:r>
          </w:p>
          <w:p w14:paraId="6B12C29C" w14:textId="77777777" w:rsidR="004C1A78" w:rsidRPr="00DB2DFD" w:rsidRDefault="004C1A78"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59" w:type="dxa"/>
            <w:shd w:val="clear" w:color="auto" w:fill="D9D9D9" w:themeFill="background1" w:themeFillShade="D9"/>
            <w:vAlign w:val="bottom"/>
          </w:tcPr>
          <w:p w14:paraId="49C0BF86" w14:textId="77777777" w:rsidR="004C1A78" w:rsidRPr="00DB2DFD" w:rsidRDefault="004C1A78" w:rsidP="00444EDE">
            <w:pPr>
              <w:jc w:val="center"/>
              <w:rPr>
                <w:b/>
                <w:sz w:val="22"/>
                <w:szCs w:val="22"/>
              </w:rPr>
            </w:pPr>
            <w:r w:rsidRPr="00DB2DFD">
              <w:rPr>
                <w:b/>
                <w:sz w:val="22"/>
                <w:szCs w:val="22"/>
              </w:rPr>
              <w:t>PM</w:t>
            </w:r>
            <w:r w:rsidRPr="00DB2DFD">
              <w:rPr>
                <w:b/>
                <w:sz w:val="22"/>
                <w:szCs w:val="22"/>
                <w:vertAlign w:val="subscript"/>
              </w:rPr>
              <w:t>10</w:t>
            </w:r>
          </w:p>
          <w:p w14:paraId="02806468" w14:textId="77777777" w:rsidR="004C1A78" w:rsidRPr="00DB2DFD" w:rsidRDefault="004C1A78"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60" w:type="dxa"/>
            <w:shd w:val="clear" w:color="auto" w:fill="D9D9D9" w:themeFill="background1" w:themeFillShade="D9"/>
            <w:vAlign w:val="bottom"/>
          </w:tcPr>
          <w:p w14:paraId="12988C67" w14:textId="77777777" w:rsidR="004C1A78" w:rsidRDefault="004C1A78" w:rsidP="00444EDE">
            <w:pPr>
              <w:jc w:val="center"/>
              <w:rPr>
                <w:b/>
                <w:sz w:val="22"/>
                <w:szCs w:val="22"/>
              </w:rPr>
            </w:pPr>
            <w:r>
              <w:rPr>
                <w:b/>
                <w:sz w:val="22"/>
                <w:szCs w:val="22"/>
              </w:rPr>
              <w:t>PM</w:t>
            </w:r>
            <w:r>
              <w:rPr>
                <w:b/>
                <w:sz w:val="22"/>
                <w:szCs w:val="22"/>
                <w:vertAlign w:val="subscript"/>
              </w:rPr>
              <w:t>2.5</w:t>
            </w:r>
          </w:p>
          <w:p w14:paraId="014EFBC1" w14:textId="77777777" w:rsidR="004C1A78" w:rsidRPr="00DB2DFD" w:rsidRDefault="004C1A78" w:rsidP="00444EDE">
            <w:pPr>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59" w:type="dxa"/>
            <w:shd w:val="clear" w:color="auto" w:fill="D9D9D9" w:themeFill="background1" w:themeFillShade="D9"/>
            <w:vAlign w:val="bottom"/>
          </w:tcPr>
          <w:p w14:paraId="4E1CC54C" w14:textId="77777777" w:rsidR="004C1A78" w:rsidRPr="00DB2DFD" w:rsidRDefault="004C1A78" w:rsidP="00444EDE">
            <w:pPr>
              <w:jc w:val="center"/>
              <w:rPr>
                <w:b/>
                <w:sz w:val="22"/>
                <w:szCs w:val="22"/>
              </w:rPr>
            </w:pPr>
            <w:r w:rsidRPr="00DB2DFD">
              <w:rPr>
                <w:b/>
                <w:sz w:val="22"/>
                <w:szCs w:val="22"/>
              </w:rPr>
              <w:t>SO</w:t>
            </w:r>
            <w:r w:rsidRPr="00DB2DFD">
              <w:rPr>
                <w:b/>
                <w:sz w:val="22"/>
                <w:szCs w:val="22"/>
                <w:vertAlign w:val="subscript"/>
              </w:rPr>
              <w:t>2</w:t>
            </w:r>
          </w:p>
          <w:p w14:paraId="40C9D891" w14:textId="77777777" w:rsidR="004C1A78" w:rsidRPr="00DB2DFD" w:rsidRDefault="004C1A78"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60" w:type="dxa"/>
            <w:shd w:val="clear" w:color="auto" w:fill="D9D9D9" w:themeFill="background1" w:themeFillShade="D9"/>
            <w:vAlign w:val="bottom"/>
          </w:tcPr>
          <w:p w14:paraId="1A85FD75" w14:textId="77777777" w:rsidR="004C1A78" w:rsidRPr="00DB2DFD" w:rsidRDefault="004C1A78" w:rsidP="00444EDE">
            <w:pPr>
              <w:jc w:val="center"/>
              <w:rPr>
                <w:b/>
                <w:sz w:val="22"/>
                <w:szCs w:val="22"/>
              </w:rPr>
            </w:pPr>
            <w:r w:rsidRPr="00DB2DFD">
              <w:rPr>
                <w:b/>
                <w:sz w:val="22"/>
                <w:szCs w:val="22"/>
              </w:rPr>
              <w:t>NO</w:t>
            </w:r>
            <w:r w:rsidRPr="00DB2DFD">
              <w:rPr>
                <w:b/>
                <w:sz w:val="22"/>
                <w:szCs w:val="22"/>
                <w:vertAlign w:val="subscript"/>
              </w:rPr>
              <w:t>x</w:t>
            </w:r>
          </w:p>
          <w:p w14:paraId="21592F9F" w14:textId="77777777" w:rsidR="004C1A78" w:rsidRPr="00DB2DFD" w:rsidRDefault="004C1A78"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59" w:type="dxa"/>
            <w:shd w:val="clear" w:color="auto" w:fill="D9D9D9" w:themeFill="background1" w:themeFillShade="D9"/>
            <w:vAlign w:val="bottom"/>
          </w:tcPr>
          <w:p w14:paraId="7584B07D" w14:textId="77777777" w:rsidR="004C1A78" w:rsidRPr="00DB2DFD" w:rsidRDefault="004C1A78" w:rsidP="00444EDE">
            <w:pPr>
              <w:jc w:val="center"/>
              <w:rPr>
                <w:b/>
                <w:sz w:val="22"/>
                <w:szCs w:val="22"/>
              </w:rPr>
            </w:pPr>
            <w:r w:rsidRPr="00DB2DFD">
              <w:rPr>
                <w:b/>
                <w:sz w:val="22"/>
                <w:szCs w:val="22"/>
              </w:rPr>
              <w:t>CO</w:t>
            </w:r>
          </w:p>
          <w:p w14:paraId="7E73A16B" w14:textId="77777777" w:rsidR="004C1A78" w:rsidRPr="00DB2DFD" w:rsidRDefault="004C1A78"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60" w:type="dxa"/>
            <w:shd w:val="clear" w:color="auto" w:fill="D9D9D9" w:themeFill="background1" w:themeFillShade="D9"/>
            <w:vAlign w:val="bottom"/>
          </w:tcPr>
          <w:p w14:paraId="3504895F" w14:textId="77777777" w:rsidR="004C1A78" w:rsidRPr="00DB2DFD" w:rsidRDefault="004C1A78" w:rsidP="00444EDE">
            <w:pPr>
              <w:jc w:val="center"/>
              <w:rPr>
                <w:b/>
                <w:sz w:val="22"/>
                <w:szCs w:val="22"/>
              </w:rPr>
            </w:pPr>
            <w:r w:rsidRPr="00DB2DFD">
              <w:rPr>
                <w:b/>
                <w:sz w:val="22"/>
                <w:szCs w:val="22"/>
              </w:rPr>
              <w:t>VOC</w:t>
            </w:r>
          </w:p>
          <w:p w14:paraId="0A16D2F6" w14:textId="77777777" w:rsidR="004C1A78" w:rsidRPr="00DB2DFD" w:rsidRDefault="004C1A78"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4C1A78" w14:paraId="679902F8" w14:textId="77777777" w:rsidTr="008A1431">
        <w:tc>
          <w:tcPr>
            <w:tcW w:w="2610" w:type="dxa"/>
            <w:vAlign w:val="center"/>
          </w:tcPr>
          <w:p w14:paraId="4D0FE4C8" w14:textId="2C87F682" w:rsidR="004C1A78" w:rsidRPr="00DB2DFD" w:rsidRDefault="004C1A78" w:rsidP="00444EDE">
            <w:pPr>
              <w:rPr>
                <w:sz w:val="22"/>
                <w:szCs w:val="22"/>
              </w:rPr>
            </w:pPr>
            <w:r w:rsidRPr="00DB2DFD">
              <w:rPr>
                <w:sz w:val="22"/>
                <w:szCs w:val="22"/>
              </w:rPr>
              <w:t>Boiler #</w:t>
            </w:r>
            <w:r w:rsidR="00660E5E">
              <w:rPr>
                <w:sz w:val="22"/>
                <w:szCs w:val="22"/>
              </w:rPr>
              <w:t>3</w:t>
            </w:r>
          </w:p>
        </w:tc>
        <w:tc>
          <w:tcPr>
            <w:tcW w:w="959" w:type="dxa"/>
            <w:vAlign w:val="center"/>
          </w:tcPr>
          <w:p w14:paraId="75C8BDA5" w14:textId="6C873A96" w:rsidR="004C1A78" w:rsidRPr="00DB2DFD" w:rsidRDefault="008A1431" w:rsidP="00444EDE">
            <w:pPr>
              <w:jc w:val="center"/>
              <w:rPr>
                <w:sz w:val="22"/>
                <w:szCs w:val="22"/>
              </w:rPr>
            </w:pPr>
            <w:r>
              <w:rPr>
                <w:sz w:val="22"/>
                <w:szCs w:val="22"/>
              </w:rPr>
              <w:t>1.05</w:t>
            </w:r>
          </w:p>
        </w:tc>
        <w:tc>
          <w:tcPr>
            <w:tcW w:w="959" w:type="dxa"/>
            <w:vAlign w:val="center"/>
          </w:tcPr>
          <w:p w14:paraId="31205FD9" w14:textId="23CF82D2" w:rsidR="004C1A78" w:rsidRPr="00DB2DFD" w:rsidRDefault="004D0CB0" w:rsidP="00444EDE">
            <w:pPr>
              <w:jc w:val="center"/>
              <w:rPr>
                <w:sz w:val="22"/>
                <w:szCs w:val="22"/>
              </w:rPr>
            </w:pPr>
            <w:r>
              <w:rPr>
                <w:sz w:val="22"/>
                <w:szCs w:val="22"/>
              </w:rPr>
              <w:t>1.05</w:t>
            </w:r>
          </w:p>
        </w:tc>
        <w:tc>
          <w:tcPr>
            <w:tcW w:w="960" w:type="dxa"/>
            <w:vAlign w:val="center"/>
          </w:tcPr>
          <w:p w14:paraId="4209D9E1" w14:textId="4C43F4B3" w:rsidR="004C1A78" w:rsidRPr="00DB2DFD" w:rsidRDefault="004D0CB0" w:rsidP="00444EDE">
            <w:pPr>
              <w:jc w:val="center"/>
              <w:rPr>
                <w:sz w:val="22"/>
                <w:szCs w:val="22"/>
              </w:rPr>
            </w:pPr>
            <w:r>
              <w:rPr>
                <w:sz w:val="22"/>
                <w:szCs w:val="22"/>
              </w:rPr>
              <w:t>1.05</w:t>
            </w:r>
          </w:p>
        </w:tc>
        <w:tc>
          <w:tcPr>
            <w:tcW w:w="959" w:type="dxa"/>
            <w:vAlign w:val="center"/>
          </w:tcPr>
          <w:p w14:paraId="0EF8629C" w14:textId="67B7CAE9" w:rsidR="004C1A78" w:rsidRPr="00DB2DFD" w:rsidRDefault="008A1431" w:rsidP="00444EDE">
            <w:pPr>
              <w:jc w:val="center"/>
              <w:rPr>
                <w:sz w:val="22"/>
                <w:szCs w:val="22"/>
              </w:rPr>
            </w:pPr>
            <w:r>
              <w:rPr>
                <w:sz w:val="22"/>
                <w:szCs w:val="22"/>
              </w:rPr>
              <w:t>0.01</w:t>
            </w:r>
          </w:p>
        </w:tc>
        <w:tc>
          <w:tcPr>
            <w:tcW w:w="960" w:type="dxa"/>
            <w:vAlign w:val="center"/>
          </w:tcPr>
          <w:p w14:paraId="69EBB44A" w14:textId="58C2F4D3" w:rsidR="004C1A78" w:rsidRPr="00DB2DFD" w:rsidRDefault="008A1431" w:rsidP="00444EDE">
            <w:pPr>
              <w:jc w:val="center"/>
              <w:rPr>
                <w:sz w:val="22"/>
                <w:szCs w:val="22"/>
              </w:rPr>
            </w:pPr>
            <w:r>
              <w:rPr>
                <w:sz w:val="22"/>
                <w:szCs w:val="22"/>
              </w:rPr>
              <w:t>2.04</w:t>
            </w:r>
          </w:p>
        </w:tc>
        <w:tc>
          <w:tcPr>
            <w:tcW w:w="959" w:type="dxa"/>
            <w:vAlign w:val="center"/>
          </w:tcPr>
          <w:p w14:paraId="12706EE0" w14:textId="70223D4D" w:rsidR="004C1A78" w:rsidRPr="00DB2DFD" w:rsidRDefault="008A1431" w:rsidP="00444EDE">
            <w:pPr>
              <w:jc w:val="center"/>
              <w:rPr>
                <w:sz w:val="22"/>
                <w:szCs w:val="22"/>
              </w:rPr>
            </w:pPr>
            <w:r>
              <w:rPr>
                <w:sz w:val="22"/>
                <w:szCs w:val="22"/>
              </w:rPr>
              <w:t>1.71</w:t>
            </w:r>
          </w:p>
        </w:tc>
        <w:tc>
          <w:tcPr>
            <w:tcW w:w="960" w:type="dxa"/>
            <w:vAlign w:val="center"/>
          </w:tcPr>
          <w:p w14:paraId="7E5A41BE" w14:textId="7E847E58" w:rsidR="004C1A78" w:rsidRPr="00DB2DFD" w:rsidRDefault="008A1431" w:rsidP="00444EDE">
            <w:pPr>
              <w:jc w:val="center"/>
              <w:rPr>
                <w:sz w:val="22"/>
                <w:szCs w:val="22"/>
              </w:rPr>
            </w:pPr>
            <w:r>
              <w:rPr>
                <w:sz w:val="22"/>
                <w:szCs w:val="22"/>
              </w:rPr>
              <w:t>0.11</w:t>
            </w:r>
          </w:p>
        </w:tc>
      </w:tr>
      <w:tr w:rsidR="00660E5E" w14:paraId="1C7706A3" w14:textId="77777777" w:rsidTr="008A1431">
        <w:tc>
          <w:tcPr>
            <w:tcW w:w="2610" w:type="dxa"/>
            <w:vAlign w:val="center"/>
          </w:tcPr>
          <w:p w14:paraId="4A821E12" w14:textId="4E9D007A" w:rsidR="00660E5E" w:rsidRPr="00DB2DFD" w:rsidRDefault="00660E5E" w:rsidP="00444EDE">
            <w:pPr>
              <w:rPr>
                <w:sz w:val="22"/>
                <w:szCs w:val="22"/>
              </w:rPr>
            </w:pPr>
            <w:r>
              <w:rPr>
                <w:sz w:val="22"/>
                <w:szCs w:val="22"/>
              </w:rPr>
              <w:t>Steam Boiler #1</w:t>
            </w:r>
          </w:p>
        </w:tc>
        <w:tc>
          <w:tcPr>
            <w:tcW w:w="959" w:type="dxa"/>
            <w:vAlign w:val="center"/>
          </w:tcPr>
          <w:p w14:paraId="7CC8644A" w14:textId="56E52EFF" w:rsidR="00660E5E" w:rsidRPr="00DB2DFD" w:rsidRDefault="008A1431" w:rsidP="00444EDE">
            <w:pPr>
              <w:jc w:val="center"/>
              <w:rPr>
                <w:sz w:val="22"/>
                <w:szCs w:val="22"/>
              </w:rPr>
            </w:pPr>
            <w:r>
              <w:rPr>
                <w:sz w:val="22"/>
                <w:szCs w:val="22"/>
              </w:rPr>
              <w:t>0.13</w:t>
            </w:r>
          </w:p>
        </w:tc>
        <w:tc>
          <w:tcPr>
            <w:tcW w:w="959" w:type="dxa"/>
            <w:vAlign w:val="center"/>
          </w:tcPr>
          <w:p w14:paraId="2EBC5D3A" w14:textId="52C82FCA" w:rsidR="00660E5E" w:rsidRPr="00DB2DFD" w:rsidRDefault="008A1431" w:rsidP="00444EDE">
            <w:pPr>
              <w:jc w:val="center"/>
              <w:rPr>
                <w:sz w:val="22"/>
                <w:szCs w:val="22"/>
              </w:rPr>
            </w:pPr>
            <w:r>
              <w:rPr>
                <w:sz w:val="22"/>
                <w:szCs w:val="22"/>
              </w:rPr>
              <w:t>0.</w:t>
            </w:r>
            <w:r w:rsidR="004D0CB0">
              <w:rPr>
                <w:sz w:val="22"/>
                <w:szCs w:val="22"/>
              </w:rPr>
              <w:t>13</w:t>
            </w:r>
          </w:p>
        </w:tc>
        <w:tc>
          <w:tcPr>
            <w:tcW w:w="960" w:type="dxa"/>
            <w:vAlign w:val="center"/>
          </w:tcPr>
          <w:p w14:paraId="0B5134BE" w14:textId="052D6F58" w:rsidR="00660E5E" w:rsidRPr="00DB2DFD" w:rsidRDefault="008A1431" w:rsidP="00444EDE">
            <w:pPr>
              <w:jc w:val="center"/>
              <w:rPr>
                <w:sz w:val="22"/>
                <w:szCs w:val="22"/>
              </w:rPr>
            </w:pPr>
            <w:r>
              <w:rPr>
                <w:sz w:val="22"/>
                <w:szCs w:val="22"/>
              </w:rPr>
              <w:t>0.</w:t>
            </w:r>
            <w:r w:rsidR="004D0CB0">
              <w:rPr>
                <w:sz w:val="22"/>
                <w:szCs w:val="22"/>
              </w:rPr>
              <w:t>13</w:t>
            </w:r>
          </w:p>
        </w:tc>
        <w:tc>
          <w:tcPr>
            <w:tcW w:w="959" w:type="dxa"/>
            <w:vAlign w:val="center"/>
          </w:tcPr>
          <w:p w14:paraId="4561191E" w14:textId="0F69478D" w:rsidR="00660E5E" w:rsidRPr="00DB2DFD" w:rsidRDefault="008A1431" w:rsidP="00444EDE">
            <w:pPr>
              <w:jc w:val="center"/>
              <w:rPr>
                <w:sz w:val="22"/>
                <w:szCs w:val="22"/>
              </w:rPr>
            </w:pPr>
            <w:r>
              <w:rPr>
                <w:sz w:val="22"/>
                <w:szCs w:val="22"/>
              </w:rPr>
              <w:t>-</w:t>
            </w:r>
          </w:p>
        </w:tc>
        <w:tc>
          <w:tcPr>
            <w:tcW w:w="960" w:type="dxa"/>
            <w:vAlign w:val="center"/>
          </w:tcPr>
          <w:p w14:paraId="390D614D" w14:textId="3D5A8808" w:rsidR="00660E5E" w:rsidRPr="00DB2DFD" w:rsidRDefault="008A1431" w:rsidP="00444EDE">
            <w:pPr>
              <w:jc w:val="center"/>
              <w:rPr>
                <w:sz w:val="22"/>
                <w:szCs w:val="22"/>
              </w:rPr>
            </w:pPr>
            <w:r>
              <w:rPr>
                <w:sz w:val="22"/>
                <w:szCs w:val="22"/>
              </w:rPr>
              <w:t>0.25</w:t>
            </w:r>
          </w:p>
        </w:tc>
        <w:tc>
          <w:tcPr>
            <w:tcW w:w="959" w:type="dxa"/>
            <w:vAlign w:val="center"/>
          </w:tcPr>
          <w:p w14:paraId="515A92CD" w14:textId="41D9D20B" w:rsidR="00660E5E" w:rsidRPr="00DB2DFD" w:rsidRDefault="008A1431" w:rsidP="00444EDE">
            <w:pPr>
              <w:jc w:val="center"/>
              <w:rPr>
                <w:sz w:val="22"/>
                <w:szCs w:val="22"/>
              </w:rPr>
            </w:pPr>
            <w:r>
              <w:rPr>
                <w:sz w:val="22"/>
                <w:szCs w:val="22"/>
              </w:rPr>
              <w:t>0.21</w:t>
            </w:r>
          </w:p>
        </w:tc>
        <w:tc>
          <w:tcPr>
            <w:tcW w:w="960" w:type="dxa"/>
            <w:vAlign w:val="center"/>
          </w:tcPr>
          <w:p w14:paraId="1ABE956C" w14:textId="71F998AF" w:rsidR="00660E5E" w:rsidRPr="00DB2DFD" w:rsidRDefault="008A1431" w:rsidP="00444EDE">
            <w:pPr>
              <w:jc w:val="center"/>
              <w:rPr>
                <w:sz w:val="22"/>
                <w:szCs w:val="22"/>
              </w:rPr>
            </w:pPr>
            <w:r>
              <w:rPr>
                <w:sz w:val="22"/>
                <w:szCs w:val="22"/>
              </w:rPr>
              <w:t>0.01</w:t>
            </w:r>
          </w:p>
        </w:tc>
      </w:tr>
      <w:tr w:rsidR="00660E5E" w14:paraId="4C2C5104" w14:textId="77777777" w:rsidTr="008A1431">
        <w:tc>
          <w:tcPr>
            <w:tcW w:w="2610" w:type="dxa"/>
            <w:vAlign w:val="center"/>
          </w:tcPr>
          <w:p w14:paraId="36FD89D7" w14:textId="5D615A6E" w:rsidR="00660E5E" w:rsidRPr="00DB2DFD" w:rsidRDefault="00660E5E" w:rsidP="00444EDE">
            <w:pPr>
              <w:rPr>
                <w:sz w:val="22"/>
                <w:szCs w:val="22"/>
              </w:rPr>
            </w:pPr>
            <w:r>
              <w:rPr>
                <w:sz w:val="22"/>
                <w:szCs w:val="22"/>
              </w:rPr>
              <w:t>AH-1</w:t>
            </w:r>
          </w:p>
        </w:tc>
        <w:tc>
          <w:tcPr>
            <w:tcW w:w="959" w:type="dxa"/>
            <w:vAlign w:val="center"/>
          </w:tcPr>
          <w:p w14:paraId="379DBBF9" w14:textId="384D36BB" w:rsidR="00660E5E" w:rsidRPr="00DB2DFD" w:rsidRDefault="008A1431" w:rsidP="00444EDE">
            <w:pPr>
              <w:jc w:val="center"/>
              <w:rPr>
                <w:sz w:val="22"/>
                <w:szCs w:val="22"/>
              </w:rPr>
            </w:pPr>
            <w:r>
              <w:rPr>
                <w:sz w:val="22"/>
                <w:szCs w:val="22"/>
              </w:rPr>
              <w:t>0.15</w:t>
            </w:r>
          </w:p>
        </w:tc>
        <w:tc>
          <w:tcPr>
            <w:tcW w:w="959" w:type="dxa"/>
            <w:vAlign w:val="center"/>
          </w:tcPr>
          <w:p w14:paraId="39410225" w14:textId="62DB506D" w:rsidR="00660E5E" w:rsidRPr="00DB2DFD" w:rsidRDefault="008A1431" w:rsidP="00444EDE">
            <w:pPr>
              <w:jc w:val="center"/>
              <w:rPr>
                <w:sz w:val="22"/>
                <w:szCs w:val="22"/>
              </w:rPr>
            </w:pPr>
            <w:r>
              <w:rPr>
                <w:sz w:val="22"/>
                <w:szCs w:val="22"/>
              </w:rPr>
              <w:t>0.15</w:t>
            </w:r>
          </w:p>
        </w:tc>
        <w:tc>
          <w:tcPr>
            <w:tcW w:w="960" w:type="dxa"/>
            <w:vAlign w:val="center"/>
          </w:tcPr>
          <w:p w14:paraId="0DFC123F" w14:textId="122C9696" w:rsidR="00660E5E" w:rsidRPr="00DB2DFD" w:rsidRDefault="00FD6050" w:rsidP="00444EDE">
            <w:pPr>
              <w:jc w:val="center"/>
              <w:rPr>
                <w:sz w:val="22"/>
                <w:szCs w:val="22"/>
              </w:rPr>
            </w:pPr>
            <w:r>
              <w:rPr>
                <w:sz w:val="22"/>
                <w:szCs w:val="22"/>
              </w:rPr>
              <w:t>0.15</w:t>
            </w:r>
          </w:p>
        </w:tc>
        <w:tc>
          <w:tcPr>
            <w:tcW w:w="959" w:type="dxa"/>
            <w:vAlign w:val="center"/>
          </w:tcPr>
          <w:p w14:paraId="1A54B555" w14:textId="178FF1DE" w:rsidR="00660E5E" w:rsidRPr="00DB2DFD" w:rsidRDefault="00E555F8" w:rsidP="00444EDE">
            <w:pPr>
              <w:jc w:val="center"/>
              <w:rPr>
                <w:sz w:val="22"/>
                <w:szCs w:val="22"/>
              </w:rPr>
            </w:pPr>
            <w:r>
              <w:rPr>
                <w:sz w:val="22"/>
                <w:szCs w:val="22"/>
              </w:rPr>
              <w:t>-</w:t>
            </w:r>
          </w:p>
        </w:tc>
        <w:tc>
          <w:tcPr>
            <w:tcW w:w="960" w:type="dxa"/>
            <w:vAlign w:val="center"/>
          </w:tcPr>
          <w:p w14:paraId="3EBD4B6E" w14:textId="6E34D20D" w:rsidR="00660E5E" w:rsidRPr="00DB2DFD" w:rsidRDefault="00E555F8" w:rsidP="00444EDE">
            <w:pPr>
              <w:jc w:val="center"/>
              <w:rPr>
                <w:sz w:val="22"/>
                <w:szCs w:val="22"/>
              </w:rPr>
            </w:pPr>
            <w:r>
              <w:rPr>
                <w:sz w:val="22"/>
                <w:szCs w:val="22"/>
              </w:rPr>
              <w:t>0.30</w:t>
            </w:r>
          </w:p>
        </w:tc>
        <w:tc>
          <w:tcPr>
            <w:tcW w:w="959" w:type="dxa"/>
            <w:vAlign w:val="center"/>
          </w:tcPr>
          <w:p w14:paraId="7F0394B9" w14:textId="5374BF37" w:rsidR="00660E5E" w:rsidRPr="00DB2DFD" w:rsidRDefault="00E555F8" w:rsidP="00444EDE">
            <w:pPr>
              <w:jc w:val="center"/>
              <w:rPr>
                <w:sz w:val="22"/>
                <w:szCs w:val="22"/>
              </w:rPr>
            </w:pPr>
            <w:r>
              <w:rPr>
                <w:sz w:val="22"/>
                <w:szCs w:val="22"/>
              </w:rPr>
              <w:t>0.25</w:t>
            </w:r>
          </w:p>
        </w:tc>
        <w:tc>
          <w:tcPr>
            <w:tcW w:w="960" w:type="dxa"/>
            <w:vAlign w:val="center"/>
          </w:tcPr>
          <w:p w14:paraId="476D6E46" w14:textId="612B7B97" w:rsidR="00660E5E" w:rsidRPr="00DB2DFD" w:rsidRDefault="00E555F8" w:rsidP="00444EDE">
            <w:pPr>
              <w:jc w:val="center"/>
              <w:rPr>
                <w:sz w:val="22"/>
                <w:szCs w:val="22"/>
              </w:rPr>
            </w:pPr>
            <w:r>
              <w:rPr>
                <w:sz w:val="22"/>
                <w:szCs w:val="22"/>
              </w:rPr>
              <w:t>0.02</w:t>
            </w:r>
          </w:p>
        </w:tc>
      </w:tr>
      <w:tr w:rsidR="00660E5E" w14:paraId="46DA40B8" w14:textId="77777777" w:rsidTr="008A1431">
        <w:tc>
          <w:tcPr>
            <w:tcW w:w="2610" w:type="dxa"/>
            <w:vAlign w:val="center"/>
          </w:tcPr>
          <w:p w14:paraId="2BDDD762" w14:textId="5C25F3EE" w:rsidR="00660E5E" w:rsidRPr="00DB2DFD" w:rsidRDefault="00660E5E" w:rsidP="00444EDE">
            <w:pPr>
              <w:rPr>
                <w:sz w:val="22"/>
                <w:szCs w:val="22"/>
              </w:rPr>
            </w:pPr>
            <w:r>
              <w:rPr>
                <w:sz w:val="22"/>
                <w:szCs w:val="22"/>
              </w:rPr>
              <w:t>AH-2</w:t>
            </w:r>
          </w:p>
        </w:tc>
        <w:tc>
          <w:tcPr>
            <w:tcW w:w="959" w:type="dxa"/>
            <w:vAlign w:val="center"/>
          </w:tcPr>
          <w:p w14:paraId="789CA33D" w14:textId="0C61FD8F" w:rsidR="00660E5E" w:rsidRPr="00DB2DFD" w:rsidRDefault="008A1431" w:rsidP="00444EDE">
            <w:pPr>
              <w:jc w:val="center"/>
              <w:rPr>
                <w:sz w:val="22"/>
                <w:szCs w:val="22"/>
              </w:rPr>
            </w:pPr>
            <w:r>
              <w:rPr>
                <w:sz w:val="22"/>
                <w:szCs w:val="22"/>
              </w:rPr>
              <w:t>0.15</w:t>
            </w:r>
          </w:p>
        </w:tc>
        <w:tc>
          <w:tcPr>
            <w:tcW w:w="959" w:type="dxa"/>
            <w:vAlign w:val="center"/>
          </w:tcPr>
          <w:p w14:paraId="2C2F56CB" w14:textId="25715A1E" w:rsidR="00660E5E" w:rsidRPr="00DB2DFD" w:rsidRDefault="008A1431" w:rsidP="00444EDE">
            <w:pPr>
              <w:jc w:val="center"/>
              <w:rPr>
                <w:sz w:val="22"/>
                <w:szCs w:val="22"/>
              </w:rPr>
            </w:pPr>
            <w:r>
              <w:rPr>
                <w:sz w:val="22"/>
                <w:szCs w:val="22"/>
              </w:rPr>
              <w:t>0.15</w:t>
            </w:r>
          </w:p>
        </w:tc>
        <w:tc>
          <w:tcPr>
            <w:tcW w:w="960" w:type="dxa"/>
            <w:vAlign w:val="center"/>
          </w:tcPr>
          <w:p w14:paraId="2F21787F" w14:textId="05FFB0A1" w:rsidR="00660E5E" w:rsidRPr="00DB2DFD" w:rsidRDefault="00FD6050" w:rsidP="00444EDE">
            <w:pPr>
              <w:jc w:val="center"/>
              <w:rPr>
                <w:sz w:val="22"/>
                <w:szCs w:val="22"/>
              </w:rPr>
            </w:pPr>
            <w:r>
              <w:rPr>
                <w:sz w:val="22"/>
                <w:szCs w:val="22"/>
              </w:rPr>
              <w:t>0.15</w:t>
            </w:r>
          </w:p>
        </w:tc>
        <w:tc>
          <w:tcPr>
            <w:tcW w:w="959" w:type="dxa"/>
            <w:vAlign w:val="center"/>
          </w:tcPr>
          <w:p w14:paraId="3218764E" w14:textId="6F51289D" w:rsidR="00660E5E" w:rsidRPr="00DB2DFD" w:rsidRDefault="00E555F8" w:rsidP="00444EDE">
            <w:pPr>
              <w:jc w:val="center"/>
              <w:rPr>
                <w:sz w:val="22"/>
                <w:szCs w:val="22"/>
              </w:rPr>
            </w:pPr>
            <w:r>
              <w:rPr>
                <w:sz w:val="22"/>
                <w:szCs w:val="22"/>
              </w:rPr>
              <w:t>-</w:t>
            </w:r>
          </w:p>
        </w:tc>
        <w:tc>
          <w:tcPr>
            <w:tcW w:w="960" w:type="dxa"/>
            <w:vAlign w:val="center"/>
          </w:tcPr>
          <w:p w14:paraId="6F7F63D4" w14:textId="66CDE7B9" w:rsidR="00660E5E" w:rsidRPr="00DB2DFD" w:rsidRDefault="00E555F8" w:rsidP="00444EDE">
            <w:pPr>
              <w:jc w:val="center"/>
              <w:rPr>
                <w:sz w:val="22"/>
                <w:szCs w:val="22"/>
              </w:rPr>
            </w:pPr>
            <w:r>
              <w:rPr>
                <w:sz w:val="22"/>
                <w:szCs w:val="22"/>
              </w:rPr>
              <w:t>0.30</w:t>
            </w:r>
          </w:p>
        </w:tc>
        <w:tc>
          <w:tcPr>
            <w:tcW w:w="959" w:type="dxa"/>
            <w:vAlign w:val="center"/>
          </w:tcPr>
          <w:p w14:paraId="05259F86" w14:textId="1715CD51" w:rsidR="00660E5E" w:rsidRPr="00DB2DFD" w:rsidRDefault="00E555F8" w:rsidP="00444EDE">
            <w:pPr>
              <w:jc w:val="center"/>
              <w:rPr>
                <w:sz w:val="22"/>
                <w:szCs w:val="22"/>
              </w:rPr>
            </w:pPr>
            <w:r>
              <w:rPr>
                <w:sz w:val="22"/>
                <w:szCs w:val="22"/>
              </w:rPr>
              <w:t>0.25</w:t>
            </w:r>
          </w:p>
        </w:tc>
        <w:tc>
          <w:tcPr>
            <w:tcW w:w="960" w:type="dxa"/>
            <w:vAlign w:val="center"/>
          </w:tcPr>
          <w:p w14:paraId="0F65938D" w14:textId="7FEAD743" w:rsidR="00660E5E" w:rsidRPr="00DB2DFD" w:rsidRDefault="00E555F8" w:rsidP="00444EDE">
            <w:pPr>
              <w:jc w:val="center"/>
              <w:rPr>
                <w:sz w:val="22"/>
                <w:szCs w:val="22"/>
              </w:rPr>
            </w:pPr>
            <w:r>
              <w:rPr>
                <w:sz w:val="22"/>
                <w:szCs w:val="22"/>
              </w:rPr>
              <w:t>0.02</w:t>
            </w:r>
          </w:p>
        </w:tc>
      </w:tr>
      <w:tr w:rsidR="00660E5E" w14:paraId="790CE308" w14:textId="77777777" w:rsidTr="008A1431">
        <w:tc>
          <w:tcPr>
            <w:tcW w:w="2610" w:type="dxa"/>
            <w:vAlign w:val="center"/>
          </w:tcPr>
          <w:p w14:paraId="3625AACC" w14:textId="1C30979D" w:rsidR="00660E5E" w:rsidRPr="00DB2DFD" w:rsidRDefault="00660E5E" w:rsidP="00444EDE">
            <w:pPr>
              <w:rPr>
                <w:sz w:val="22"/>
                <w:szCs w:val="22"/>
              </w:rPr>
            </w:pPr>
            <w:r>
              <w:rPr>
                <w:sz w:val="22"/>
                <w:szCs w:val="22"/>
              </w:rPr>
              <w:t>Boiler #7</w:t>
            </w:r>
          </w:p>
        </w:tc>
        <w:tc>
          <w:tcPr>
            <w:tcW w:w="959" w:type="dxa"/>
            <w:vAlign w:val="center"/>
          </w:tcPr>
          <w:p w14:paraId="5E16360A" w14:textId="01CA2CB0" w:rsidR="00660E5E" w:rsidRPr="00DB2DFD" w:rsidRDefault="008A1431" w:rsidP="00444EDE">
            <w:pPr>
              <w:jc w:val="center"/>
              <w:rPr>
                <w:sz w:val="22"/>
                <w:szCs w:val="22"/>
              </w:rPr>
            </w:pPr>
            <w:r>
              <w:rPr>
                <w:sz w:val="22"/>
                <w:szCs w:val="22"/>
              </w:rPr>
              <w:t>0.08</w:t>
            </w:r>
          </w:p>
        </w:tc>
        <w:tc>
          <w:tcPr>
            <w:tcW w:w="959" w:type="dxa"/>
            <w:vAlign w:val="center"/>
          </w:tcPr>
          <w:p w14:paraId="152406FC" w14:textId="0C723F21" w:rsidR="00660E5E" w:rsidRPr="00DB2DFD" w:rsidRDefault="008A1431" w:rsidP="00444EDE">
            <w:pPr>
              <w:jc w:val="center"/>
              <w:rPr>
                <w:sz w:val="22"/>
                <w:szCs w:val="22"/>
              </w:rPr>
            </w:pPr>
            <w:r>
              <w:rPr>
                <w:sz w:val="22"/>
                <w:szCs w:val="22"/>
              </w:rPr>
              <w:t>0.08</w:t>
            </w:r>
          </w:p>
        </w:tc>
        <w:tc>
          <w:tcPr>
            <w:tcW w:w="960" w:type="dxa"/>
            <w:vAlign w:val="center"/>
          </w:tcPr>
          <w:p w14:paraId="222CB3DC" w14:textId="3B153AA4" w:rsidR="00660E5E" w:rsidRPr="00DB2DFD" w:rsidRDefault="00FD6050" w:rsidP="00444EDE">
            <w:pPr>
              <w:jc w:val="center"/>
              <w:rPr>
                <w:sz w:val="22"/>
                <w:szCs w:val="22"/>
              </w:rPr>
            </w:pPr>
            <w:r>
              <w:rPr>
                <w:sz w:val="22"/>
                <w:szCs w:val="22"/>
              </w:rPr>
              <w:t>0.</w:t>
            </w:r>
            <w:r w:rsidR="004D0CB0">
              <w:rPr>
                <w:sz w:val="22"/>
                <w:szCs w:val="22"/>
              </w:rPr>
              <w:t>0</w:t>
            </w:r>
            <w:r>
              <w:rPr>
                <w:sz w:val="22"/>
                <w:szCs w:val="22"/>
              </w:rPr>
              <w:t>8</w:t>
            </w:r>
          </w:p>
        </w:tc>
        <w:tc>
          <w:tcPr>
            <w:tcW w:w="959" w:type="dxa"/>
            <w:vAlign w:val="center"/>
          </w:tcPr>
          <w:p w14:paraId="27FCCF3F" w14:textId="3F32466E" w:rsidR="00660E5E" w:rsidRPr="00DB2DFD" w:rsidRDefault="00E555F8" w:rsidP="00444EDE">
            <w:pPr>
              <w:jc w:val="center"/>
              <w:rPr>
                <w:sz w:val="22"/>
                <w:szCs w:val="22"/>
              </w:rPr>
            </w:pPr>
            <w:r>
              <w:rPr>
                <w:sz w:val="22"/>
                <w:szCs w:val="22"/>
              </w:rPr>
              <w:t>0.01</w:t>
            </w:r>
          </w:p>
        </w:tc>
        <w:tc>
          <w:tcPr>
            <w:tcW w:w="960" w:type="dxa"/>
            <w:vAlign w:val="center"/>
          </w:tcPr>
          <w:p w14:paraId="28A772F0" w14:textId="36CD46D4" w:rsidR="00660E5E" w:rsidRPr="00DB2DFD" w:rsidRDefault="00E555F8" w:rsidP="00444EDE">
            <w:pPr>
              <w:jc w:val="center"/>
              <w:rPr>
                <w:sz w:val="22"/>
                <w:szCs w:val="22"/>
              </w:rPr>
            </w:pPr>
            <w:r>
              <w:rPr>
                <w:sz w:val="22"/>
                <w:szCs w:val="22"/>
              </w:rPr>
              <w:t>0.15</w:t>
            </w:r>
          </w:p>
        </w:tc>
        <w:tc>
          <w:tcPr>
            <w:tcW w:w="959" w:type="dxa"/>
            <w:vAlign w:val="center"/>
          </w:tcPr>
          <w:p w14:paraId="3AF12CDE" w14:textId="50EC49D0" w:rsidR="00660E5E" w:rsidRPr="00DB2DFD" w:rsidRDefault="00E555F8" w:rsidP="00444EDE">
            <w:pPr>
              <w:jc w:val="center"/>
              <w:rPr>
                <w:sz w:val="22"/>
                <w:szCs w:val="22"/>
              </w:rPr>
            </w:pPr>
            <w:r>
              <w:rPr>
                <w:sz w:val="22"/>
                <w:szCs w:val="22"/>
              </w:rPr>
              <w:t>0.12</w:t>
            </w:r>
          </w:p>
        </w:tc>
        <w:tc>
          <w:tcPr>
            <w:tcW w:w="960" w:type="dxa"/>
            <w:vAlign w:val="center"/>
          </w:tcPr>
          <w:p w14:paraId="515305A8" w14:textId="30CA7640" w:rsidR="00660E5E" w:rsidRPr="00DB2DFD" w:rsidRDefault="00E555F8" w:rsidP="00444EDE">
            <w:pPr>
              <w:jc w:val="center"/>
              <w:rPr>
                <w:sz w:val="22"/>
                <w:szCs w:val="22"/>
              </w:rPr>
            </w:pPr>
            <w:r>
              <w:rPr>
                <w:sz w:val="22"/>
                <w:szCs w:val="22"/>
              </w:rPr>
              <w:t>0.01</w:t>
            </w:r>
          </w:p>
        </w:tc>
      </w:tr>
      <w:tr w:rsidR="00660E5E" w14:paraId="708FB338" w14:textId="77777777" w:rsidTr="008A1431">
        <w:tc>
          <w:tcPr>
            <w:tcW w:w="2610" w:type="dxa"/>
            <w:vAlign w:val="center"/>
          </w:tcPr>
          <w:p w14:paraId="1CD122DB" w14:textId="273FD768" w:rsidR="00660E5E" w:rsidRPr="00DB2DFD" w:rsidRDefault="00660E5E" w:rsidP="00444EDE">
            <w:pPr>
              <w:rPr>
                <w:sz w:val="22"/>
                <w:szCs w:val="22"/>
              </w:rPr>
            </w:pPr>
            <w:r>
              <w:rPr>
                <w:sz w:val="22"/>
                <w:szCs w:val="22"/>
              </w:rPr>
              <w:t>Boiler #8 – Distillate Fuel</w:t>
            </w:r>
          </w:p>
        </w:tc>
        <w:tc>
          <w:tcPr>
            <w:tcW w:w="959" w:type="dxa"/>
            <w:vAlign w:val="center"/>
          </w:tcPr>
          <w:p w14:paraId="1E32E2DC" w14:textId="43908DB4" w:rsidR="00660E5E" w:rsidRPr="00DB2DFD" w:rsidRDefault="008A1431" w:rsidP="00444EDE">
            <w:pPr>
              <w:jc w:val="center"/>
              <w:rPr>
                <w:sz w:val="22"/>
                <w:szCs w:val="22"/>
              </w:rPr>
            </w:pPr>
            <w:r>
              <w:rPr>
                <w:sz w:val="22"/>
                <w:szCs w:val="22"/>
              </w:rPr>
              <w:t>1.26</w:t>
            </w:r>
          </w:p>
        </w:tc>
        <w:tc>
          <w:tcPr>
            <w:tcW w:w="959" w:type="dxa"/>
            <w:vAlign w:val="center"/>
          </w:tcPr>
          <w:p w14:paraId="2135C759" w14:textId="0A6F2D16" w:rsidR="00660E5E" w:rsidRPr="00DB2DFD" w:rsidRDefault="008A1431" w:rsidP="00444EDE">
            <w:pPr>
              <w:jc w:val="center"/>
              <w:rPr>
                <w:sz w:val="22"/>
                <w:szCs w:val="22"/>
              </w:rPr>
            </w:pPr>
            <w:r>
              <w:rPr>
                <w:sz w:val="22"/>
                <w:szCs w:val="22"/>
              </w:rPr>
              <w:t>0.76</w:t>
            </w:r>
          </w:p>
        </w:tc>
        <w:tc>
          <w:tcPr>
            <w:tcW w:w="960" w:type="dxa"/>
            <w:vAlign w:val="center"/>
          </w:tcPr>
          <w:p w14:paraId="272D685E" w14:textId="16B7474A" w:rsidR="00660E5E" w:rsidRPr="00DB2DFD" w:rsidRDefault="00FD6050" w:rsidP="00444EDE">
            <w:pPr>
              <w:jc w:val="center"/>
              <w:rPr>
                <w:sz w:val="22"/>
                <w:szCs w:val="22"/>
              </w:rPr>
            </w:pPr>
            <w:r>
              <w:rPr>
                <w:sz w:val="22"/>
                <w:szCs w:val="22"/>
              </w:rPr>
              <w:t>0.76</w:t>
            </w:r>
          </w:p>
        </w:tc>
        <w:tc>
          <w:tcPr>
            <w:tcW w:w="959" w:type="dxa"/>
            <w:vAlign w:val="center"/>
          </w:tcPr>
          <w:p w14:paraId="1409991F" w14:textId="0DB70D46" w:rsidR="00660E5E" w:rsidRPr="00DB2DFD" w:rsidRDefault="00E555F8" w:rsidP="00444EDE">
            <w:pPr>
              <w:jc w:val="center"/>
              <w:rPr>
                <w:sz w:val="22"/>
                <w:szCs w:val="22"/>
              </w:rPr>
            </w:pPr>
            <w:r>
              <w:rPr>
                <w:sz w:val="22"/>
                <w:szCs w:val="22"/>
              </w:rPr>
              <w:t>0.04</w:t>
            </w:r>
          </w:p>
        </w:tc>
        <w:tc>
          <w:tcPr>
            <w:tcW w:w="960" w:type="dxa"/>
            <w:vAlign w:val="center"/>
          </w:tcPr>
          <w:p w14:paraId="4F43EBDD" w14:textId="2CD48D2C" w:rsidR="00660E5E" w:rsidRPr="00DB2DFD" w:rsidRDefault="00E555F8" w:rsidP="00444EDE">
            <w:pPr>
              <w:jc w:val="center"/>
              <w:rPr>
                <w:sz w:val="22"/>
                <w:szCs w:val="22"/>
              </w:rPr>
            </w:pPr>
            <w:r>
              <w:rPr>
                <w:sz w:val="22"/>
                <w:szCs w:val="22"/>
              </w:rPr>
              <w:t>2.77</w:t>
            </w:r>
          </w:p>
        </w:tc>
        <w:tc>
          <w:tcPr>
            <w:tcW w:w="959" w:type="dxa"/>
            <w:vAlign w:val="center"/>
          </w:tcPr>
          <w:p w14:paraId="7BBC6090" w14:textId="3739BD69" w:rsidR="00660E5E" w:rsidRPr="00DB2DFD" w:rsidRDefault="00E555F8" w:rsidP="00444EDE">
            <w:pPr>
              <w:jc w:val="center"/>
              <w:rPr>
                <w:sz w:val="22"/>
                <w:szCs w:val="22"/>
              </w:rPr>
            </w:pPr>
            <w:r>
              <w:rPr>
                <w:sz w:val="22"/>
                <w:szCs w:val="22"/>
              </w:rPr>
              <w:t>1.01</w:t>
            </w:r>
          </w:p>
        </w:tc>
        <w:tc>
          <w:tcPr>
            <w:tcW w:w="960" w:type="dxa"/>
            <w:vAlign w:val="center"/>
          </w:tcPr>
          <w:p w14:paraId="04D16801" w14:textId="5BB0AC4F" w:rsidR="00660E5E" w:rsidRPr="00DB2DFD" w:rsidRDefault="00E555F8" w:rsidP="00444EDE">
            <w:pPr>
              <w:jc w:val="center"/>
              <w:rPr>
                <w:sz w:val="22"/>
                <w:szCs w:val="22"/>
              </w:rPr>
            </w:pPr>
            <w:r>
              <w:rPr>
                <w:sz w:val="22"/>
                <w:szCs w:val="22"/>
              </w:rPr>
              <w:t>0.18</w:t>
            </w:r>
          </w:p>
        </w:tc>
      </w:tr>
      <w:tr w:rsidR="00660E5E" w14:paraId="3F5F4347" w14:textId="77777777" w:rsidTr="008A1431">
        <w:tc>
          <w:tcPr>
            <w:tcW w:w="2610" w:type="dxa"/>
            <w:vAlign w:val="center"/>
          </w:tcPr>
          <w:p w14:paraId="5BBC8AF2" w14:textId="766000E5" w:rsidR="00660E5E" w:rsidRPr="00DB2DFD" w:rsidRDefault="00660E5E" w:rsidP="00444EDE">
            <w:pPr>
              <w:rPr>
                <w:sz w:val="22"/>
                <w:szCs w:val="22"/>
              </w:rPr>
            </w:pPr>
            <w:r>
              <w:rPr>
                <w:sz w:val="22"/>
                <w:szCs w:val="22"/>
              </w:rPr>
              <w:t>Boiler #8 – Natural Gas</w:t>
            </w:r>
          </w:p>
        </w:tc>
        <w:tc>
          <w:tcPr>
            <w:tcW w:w="959" w:type="dxa"/>
            <w:vAlign w:val="center"/>
          </w:tcPr>
          <w:p w14:paraId="6B2B40A6" w14:textId="7B202DE7" w:rsidR="00660E5E" w:rsidRPr="00DB2DFD" w:rsidRDefault="008A1431" w:rsidP="00444EDE">
            <w:pPr>
              <w:jc w:val="center"/>
              <w:rPr>
                <w:sz w:val="22"/>
                <w:szCs w:val="22"/>
              </w:rPr>
            </w:pPr>
            <w:r>
              <w:rPr>
                <w:sz w:val="22"/>
                <w:szCs w:val="22"/>
              </w:rPr>
              <w:t>0.76</w:t>
            </w:r>
          </w:p>
        </w:tc>
        <w:tc>
          <w:tcPr>
            <w:tcW w:w="959" w:type="dxa"/>
            <w:vAlign w:val="center"/>
          </w:tcPr>
          <w:p w14:paraId="755C1F3B" w14:textId="54264FEA" w:rsidR="00660E5E" w:rsidRPr="00DB2DFD" w:rsidRDefault="008A1431" w:rsidP="00444EDE">
            <w:pPr>
              <w:jc w:val="center"/>
              <w:rPr>
                <w:sz w:val="22"/>
                <w:szCs w:val="22"/>
              </w:rPr>
            </w:pPr>
            <w:r>
              <w:rPr>
                <w:sz w:val="22"/>
                <w:szCs w:val="22"/>
              </w:rPr>
              <w:t>0.76</w:t>
            </w:r>
          </w:p>
        </w:tc>
        <w:tc>
          <w:tcPr>
            <w:tcW w:w="960" w:type="dxa"/>
            <w:vAlign w:val="center"/>
          </w:tcPr>
          <w:p w14:paraId="6A270F3F" w14:textId="348AED59" w:rsidR="00660E5E" w:rsidRPr="00DB2DFD" w:rsidRDefault="00FD6050" w:rsidP="00444EDE">
            <w:pPr>
              <w:jc w:val="center"/>
              <w:rPr>
                <w:sz w:val="22"/>
                <w:szCs w:val="22"/>
              </w:rPr>
            </w:pPr>
            <w:r>
              <w:rPr>
                <w:sz w:val="22"/>
                <w:szCs w:val="22"/>
              </w:rPr>
              <w:t>0.76</w:t>
            </w:r>
          </w:p>
        </w:tc>
        <w:tc>
          <w:tcPr>
            <w:tcW w:w="959" w:type="dxa"/>
            <w:vAlign w:val="center"/>
          </w:tcPr>
          <w:p w14:paraId="7780C49E" w14:textId="16EFE23A" w:rsidR="00660E5E" w:rsidRPr="00DB2DFD" w:rsidRDefault="00E555F8" w:rsidP="00444EDE">
            <w:pPr>
              <w:jc w:val="center"/>
              <w:rPr>
                <w:sz w:val="22"/>
                <w:szCs w:val="22"/>
              </w:rPr>
            </w:pPr>
            <w:r>
              <w:rPr>
                <w:sz w:val="22"/>
                <w:szCs w:val="22"/>
              </w:rPr>
              <w:t>0.03</w:t>
            </w:r>
          </w:p>
        </w:tc>
        <w:tc>
          <w:tcPr>
            <w:tcW w:w="960" w:type="dxa"/>
            <w:vAlign w:val="center"/>
          </w:tcPr>
          <w:p w14:paraId="2203CE59" w14:textId="30E71FA7" w:rsidR="00660E5E" w:rsidRPr="00DB2DFD" w:rsidRDefault="00E555F8" w:rsidP="00444EDE">
            <w:pPr>
              <w:jc w:val="center"/>
              <w:rPr>
                <w:sz w:val="22"/>
                <w:szCs w:val="22"/>
              </w:rPr>
            </w:pPr>
            <w:r>
              <w:rPr>
                <w:sz w:val="22"/>
                <w:szCs w:val="22"/>
              </w:rPr>
              <w:t>0.88</w:t>
            </w:r>
          </w:p>
        </w:tc>
        <w:tc>
          <w:tcPr>
            <w:tcW w:w="959" w:type="dxa"/>
            <w:vAlign w:val="center"/>
          </w:tcPr>
          <w:p w14:paraId="070FE402" w14:textId="5C06DCBB" w:rsidR="00660E5E" w:rsidRPr="00DB2DFD" w:rsidRDefault="00E555F8" w:rsidP="00444EDE">
            <w:pPr>
              <w:jc w:val="center"/>
              <w:rPr>
                <w:sz w:val="22"/>
                <w:szCs w:val="22"/>
              </w:rPr>
            </w:pPr>
            <w:r>
              <w:rPr>
                <w:sz w:val="22"/>
                <w:szCs w:val="22"/>
              </w:rPr>
              <w:t>0.25</w:t>
            </w:r>
          </w:p>
        </w:tc>
        <w:tc>
          <w:tcPr>
            <w:tcW w:w="960" w:type="dxa"/>
            <w:vAlign w:val="center"/>
          </w:tcPr>
          <w:p w14:paraId="07AAD2A2" w14:textId="4BB6DB39" w:rsidR="00660E5E" w:rsidRPr="00DB2DFD" w:rsidRDefault="00E555F8" w:rsidP="00444EDE">
            <w:pPr>
              <w:jc w:val="center"/>
              <w:rPr>
                <w:sz w:val="22"/>
                <w:szCs w:val="22"/>
              </w:rPr>
            </w:pPr>
            <w:r>
              <w:rPr>
                <w:sz w:val="22"/>
                <w:szCs w:val="22"/>
              </w:rPr>
              <w:t>0.18</w:t>
            </w:r>
          </w:p>
        </w:tc>
      </w:tr>
      <w:tr w:rsidR="00660E5E" w14:paraId="6F2D65A4" w14:textId="77777777" w:rsidTr="008A1431">
        <w:tc>
          <w:tcPr>
            <w:tcW w:w="2610" w:type="dxa"/>
            <w:vAlign w:val="center"/>
          </w:tcPr>
          <w:p w14:paraId="677A7256" w14:textId="0E59CCFC" w:rsidR="00660E5E" w:rsidRPr="00DB2DFD" w:rsidRDefault="00660E5E" w:rsidP="00444EDE">
            <w:pPr>
              <w:rPr>
                <w:sz w:val="22"/>
                <w:szCs w:val="22"/>
              </w:rPr>
            </w:pPr>
            <w:r>
              <w:rPr>
                <w:sz w:val="22"/>
                <w:szCs w:val="22"/>
              </w:rPr>
              <w:t>SFAB Heat Treat Furnace</w:t>
            </w:r>
          </w:p>
        </w:tc>
        <w:tc>
          <w:tcPr>
            <w:tcW w:w="959" w:type="dxa"/>
            <w:vAlign w:val="center"/>
          </w:tcPr>
          <w:p w14:paraId="5F81455A" w14:textId="13BB706B" w:rsidR="00660E5E" w:rsidRPr="00DB2DFD" w:rsidRDefault="008A1431" w:rsidP="00444EDE">
            <w:pPr>
              <w:jc w:val="center"/>
              <w:rPr>
                <w:sz w:val="22"/>
                <w:szCs w:val="22"/>
              </w:rPr>
            </w:pPr>
            <w:r>
              <w:rPr>
                <w:sz w:val="22"/>
                <w:szCs w:val="22"/>
              </w:rPr>
              <w:t>0.60</w:t>
            </w:r>
          </w:p>
        </w:tc>
        <w:tc>
          <w:tcPr>
            <w:tcW w:w="959" w:type="dxa"/>
            <w:vAlign w:val="center"/>
          </w:tcPr>
          <w:p w14:paraId="7D4E6E0D" w14:textId="42348910" w:rsidR="00660E5E" w:rsidRPr="00DB2DFD" w:rsidRDefault="008A1431" w:rsidP="00444EDE">
            <w:pPr>
              <w:jc w:val="center"/>
              <w:rPr>
                <w:sz w:val="22"/>
                <w:szCs w:val="22"/>
              </w:rPr>
            </w:pPr>
            <w:r>
              <w:rPr>
                <w:sz w:val="22"/>
                <w:szCs w:val="22"/>
              </w:rPr>
              <w:t>0.60</w:t>
            </w:r>
          </w:p>
        </w:tc>
        <w:tc>
          <w:tcPr>
            <w:tcW w:w="960" w:type="dxa"/>
            <w:vAlign w:val="center"/>
          </w:tcPr>
          <w:p w14:paraId="44E0D931" w14:textId="4BA352A0" w:rsidR="00660E5E" w:rsidRPr="00DB2DFD" w:rsidRDefault="00FD6050" w:rsidP="00444EDE">
            <w:pPr>
              <w:jc w:val="center"/>
              <w:rPr>
                <w:sz w:val="22"/>
                <w:szCs w:val="22"/>
              </w:rPr>
            </w:pPr>
            <w:r>
              <w:rPr>
                <w:sz w:val="22"/>
                <w:szCs w:val="22"/>
              </w:rPr>
              <w:t>0.60</w:t>
            </w:r>
          </w:p>
        </w:tc>
        <w:tc>
          <w:tcPr>
            <w:tcW w:w="959" w:type="dxa"/>
            <w:vAlign w:val="center"/>
          </w:tcPr>
          <w:p w14:paraId="00F8F902" w14:textId="7FE15894" w:rsidR="00660E5E" w:rsidRPr="00DB2DFD" w:rsidRDefault="00E555F8" w:rsidP="00444EDE">
            <w:pPr>
              <w:jc w:val="center"/>
              <w:rPr>
                <w:sz w:val="22"/>
                <w:szCs w:val="22"/>
              </w:rPr>
            </w:pPr>
            <w:r>
              <w:rPr>
                <w:sz w:val="22"/>
                <w:szCs w:val="22"/>
              </w:rPr>
              <w:t>0.01</w:t>
            </w:r>
          </w:p>
        </w:tc>
        <w:tc>
          <w:tcPr>
            <w:tcW w:w="960" w:type="dxa"/>
            <w:vAlign w:val="center"/>
          </w:tcPr>
          <w:p w14:paraId="6A756AC9" w14:textId="15E2A1BE" w:rsidR="00660E5E" w:rsidRPr="00DB2DFD" w:rsidRDefault="00E555F8" w:rsidP="00444EDE">
            <w:pPr>
              <w:jc w:val="center"/>
              <w:rPr>
                <w:sz w:val="22"/>
                <w:szCs w:val="22"/>
              </w:rPr>
            </w:pPr>
            <w:r>
              <w:rPr>
                <w:sz w:val="22"/>
                <w:szCs w:val="22"/>
              </w:rPr>
              <w:t>0.70</w:t>
            </w:r>
          </w:p>
        </w:tc>
        <w:tc>
          <w:tcPr>
            <w:tcW w:w="959" w:type="dxa"/>
            <w:vAlign w:val="center"/>
          </w:tcPr>
          <w:p w14:paraId="358E8F8A" w14:textId="30C7677D" w:rsidR="00660E5E" w:rsidRPr="00DB2DFD" w:rsidRDefault="00E555F8" w:rsidP="00444EDE">
            <w:pPr>
              <w:jc w:val="center"/>
              <w:rPr>
                <w:sz w:val="22"/>
                <w:szCs w:val="22"/>
              </w:rPr>
            </w:pPr>
            <w:r>
              <w:rPr>
                <w:sz w:val="22"/>
                <w:szCs w:val="22"/>
              </w:rPr>
              <w:t>0.21</w:t>
            </w:r>
          </w:p>
        </w:tc>
        <w:tc>
          <w:tcPr>
            <w:tcW w:w="960" w:type="dxa"/>
            <w:vAlign w:val="center"/>
          </w:tcPr>
          <w:p w14:paraId="3925835D" w14:textId="0A03E5E3" w:rsidR="00660E5E" w:rsidRPr="00DB2DFD" w:rsidRDefault="00E555F8" w:rsidP="00444EDE">
            <w:pPr>
              <w:jc w:val="center"/>
              <w:rPr>
                <w:sz w:val="22"/>
                <w:szCs w:val="22"/>
              </w:rPr>
            </w:pPr>
            <w:r>
              <w:rPr>
                <w:sz w:val="22"/>
                <w:szCs w:val="22"/>
              </w:rPr>
              <w:t>0.05</w:t>
            </w:r>
          </w:p>
        </w:tc>
      </w:tr>
      <w:tr w:rsidR="008A1431" w14:paraId="70C8F6F4" w14:textId="77777777" w:rsidTr="008A1431">
        <w:tc>
          <w:tcPr>
            <w:tcW w:w="2610" w:type="dxa"/>
            <w:vAlign w:val="center"/>
          </w:tcPr>
          <w:p w14:paraId="36AD972B" w14:textId="5163C29B" w:rsidR="008A1431" w:rsidRPr="00DB2DFD" w:rsidRDefault="008A1431" w:rsidP="008A1431">
            <w:pPr>
              <w:rPr>
                <w:sz w:val="22"/>
                <w:szCs w:val="22"/>
              </w:rPr>
            </w:pPr>
            <w:r>
              <w:rPr>
                <w:sz w:val="22"/>
                <w:szCs w:val="22"/>
              </w:rPr>
              <w:t>Door Shop Furnace</w:t>
            </w:r>
          </w:p>
        </w:tc>
        <w:tc>
          <w:tcPr>
            <w:tcW w:w="959" w:type="dxa"/>
            <w:vAlign w:val="center"/>
          </w:tcPr>
          <w:p w14:paraId="3C8D2962" w14:textId="7909438F" w:rsidR="008A1431" w:rsidRPr="00DB2DFD" w:rsidRDefault="008A1431" w:rsidP="008A1431">
            <w:pPr>
              <w:jc w:val="center"/>
              <w:rPr>
                <w:sz w:val="22"/>
                <w:szCs w:val="22"/>
              </w:rPr>
            </w:pPr>
            <w:r>
              <w:rPr>
                <w:sz w:val="22"/>
                <w:szCs w:val="22"/>
              </w:rPr>
              <w:t>0.06</w:t>
            </w:r>
          </w:p>
        </w:tc>
        <w:tc>
          <w:tcPr>
            <w:tcW w:w="959" w:type="dxa"/>
            <w:vAlign w:val="center"/>
          </w:tcPr>
          <w:p w14:paraId="0E796980" w14:textId="2B8344D3" w:rsidR="008A1431" w:rsidRPr="00DB2DFD" w:rsidRDefault="008A1431" w:rsidP="008A1431">
            <w:pPr>
              <w:jc w:val="center"/>
              <w:rPr>
                <w:sz w:val="22"/>
                <w:szCs w:val="22"/>
              </w:rPr>
            </w:pPr>
            <w:r>
              <w:rPr>
                <w:sz w:val="22"/>
                <w:szCs w:val="22"/>
              </w:rPr>
              <w:t>0.0</w:t>
            </w:r>
            <w:r w:rsidR="004D0CB0">
              <w:rPr>
                <w:sz w:val="22"/>
                <w:szCs w:val="22"/>
              </w:rPr>
              <w:t>6</w:t>
            </w:r>
          </w:p>
        </w:tc>
        <w:tc>
          <w:tcPr>
            <w:tcW w:w="960" w:type="dxa"/>
            <w:vAlign w:val="center"/>
          </w:tcPr>
          <w:p w14:paraId="62D0FF42" w14:textId="5B23A042" w:rsidR="008A1431" w:rsidRPr="00DB2DFD" w:rsidRDefault="008A1431" w:rsidP="008A1431">
            <w:pPr>
              <w:jc w:val="center"/>
              <w:rPr>
                <w:sz w:val="22"/>
                <w:szCs w:val="22"/>
              </w:rPr>
            </w:pPr>
            <w:r>
              <w:rPr>
                <w:sz w:val="22"/>
                <w:szCs w:val="22"/>
              </w:rPr>
              <w:t>0.0</w:t>
            </w:r>
            <w:r w:rsidR="004D0CB0">
              <w:rPr>
                <w:sz w:val="22"/>
                <w:szCs w:val="22"/>
              </w:rPr>
              <w:t>6</w:t>
            </w:r>
          </w:p>
        </w:tc>
        <w:tc>
          <w:tcPr>
            <w:tcW w:w="959" w:type="dxa"/>
            <w:vAlign w:val="center"/>
          </w:tcPr>
          <w:p w14:paraId="06DD63D1" w14:textId="2EB62D60" w:rsidR="008A1431" w:rsidRPr="00DB2DFD" w:rsidRDefault="008A1431" w:rsidP="008A1431">
            <w:pPr>
              <w:jc w:val="center"/>
              <w:rPr>
                <w:sz w:val="22"/>
                <w:szCs w:val="22"/>
              </w:rPr>
            </w:pPr>
            <w:r>
              <w:rPr>
                <w:sz w:val="22"/>
                <w:szCs w:val="22"/>
              </w:rPr>
              <w:t>-</w:t>
            </w:r>
          </w:p>
        </w:tc>
        <w:tc>
          <w:tcPr>
            <w:tcW w:w="960" w:type="dxa"/>
            <w:vAlign w:val="center"/>
          </w:tcPr>
          <w:p w14:paraId="764AFE6C" w14:textId="1DF775F2" w:rsidR="008A1431" w:rsidRPr="00DB2DFD" w:rsidRDefault="008A1431" w:rsidP="008A1431">
            <w:pPr>
              <w:jc w:val="center"/>
              <w:rPr>
                <w:sz w:val="22"/>
                <w:szCs w:val="22"/>
              </w:rPr>
            </w:pPr>
            <w:r>
              <w:rPr>
                <w:sz w:val="22"/>
                <w:szCs w:val="22"/>
              </w:rPr>
              <w:t>0.12</w:t>
            </w:r>
          </w:p>
        </w:tc>
        <w:tc>
          <w:tcPr>
            <w:tcW w:w="959" w:type="dxa"/>
            <w:vAlign w:val="center"/>
          </w:tcPr>
          <w:p w14:paraId="360F6999" w14:textId="397495FD" w:rsidR="008A1431" w:rsidRPr="00DB2DFD" w:rsidRDefault="008A1431" w:rsidP="008A1431">
            <w:pPr>
              <w:jc w:val="center"/>
              <w:rPr>
                <w:sz w:val="22"/>
                <w:szCs w:val="22"/>
              </w:rPr>
            </w:pPr>
            <w:r>
              <w:rPr>
                <w:sz w:val="22"/>
                <w:szCs w:val="22"/>
              </w:rPr>
              <w:t>0.10</w:t>
            </w:r>
          </w:p>
        </w:tc>
        <w:tc>
          <w:tcPr>
            <w:tcW w:w="960" w:type="dxa"/>
            <w:vAlign w:val="center"/>
          </w:tcPr>
          <w:p w14:paraId="0852EFDF" w14:textId="48AAD2EB" w:rsidR="008A1431" w:rsidRPr="00DB2DFD" w:rsidRDefault="008A1431" w:rsidP="008A1431">
            <w:pPr>
              <w:jc w:val="center"/>
              <w:rPr>
                <w:sz w:val="22"/>
                <w:szCs w:val="22"/>
              </w:rPr>
            </w:pPr>
            <w:r>
              <w:rPr>
                <w:sz w:val="22"/>
                <w:szCs w:val="22"/>
              </w:rPr>
              <w:t>0.01</w:t>
            </w:r>
          </w:p>
        </w:tc>
      </w:tr>
      <w:tr w:rsidR="008A1431" w14:paraId="01B54FAC" w14:textId="77777777" w:rsidTr="008A1431">
        <w:tc>
          <w:tcPr>
            <w:tcW w:w="2610" w:type="dxa"/>
            <w:vAlign w:val="center"/>
          </w:tcPr>
          <w:p w14:paraId="70E72A57" w14:textId="7C716294" w:rsidR="008A1431" w:rsidRPr="00DB2DFD" w:rsidRDefault="008A1431" w:rsidP="008A1431">
            <w:pPr>
              <w:rPr>
                <w:sz w:val="22"/>
                <w:szCs w:val="22"/>
              </w:rPr>
            </w:pPr>
            <w:r>
              <w:rPr>
                <w:sz w:val="22"/>
                <w:szCs w:val="22"/>
              </w:rPr>
              <w:t>Quonset Hut Furnace</w:t>
            </w:r>
          </w:p>
        </w:tc>
        <w:tc>
          <w:tcPr>
            <w:tcW w:w="959" w:type="dxa"/>
            <w:vAlign w:val="center"/>
          </w:tcPr>
          <w:p w14:paraId="6F503554" w14:textId="2F20F38A" w:rsidR="008A1431" w:rsidRPr="00DB2DFD" w:rsidRDefault="008A1431" w:rsidP="008A1431">
            <w:pPr>
              <w:jc w:val="center"/>
              <w:rPr>
                <w:sz w:val="22"/>
                <w:szCs w:val="22"/>
              </w:rPr>
            </w:pPr>
            <w:r>
              <w:rPr>
                <w:sz w:val="22"/>
                <w:szCs w:val="22"/>
              </w:rPr>
              <w:t>0.06</w:t>
            </w:r>
          </w:p>
        </w:tc>
        <w:tc>
          <w:tcPr>
            <w:tcW w:w="959" w:type="dxa"/>
            <w:vAlign w:val="center"/>
          </w:tcPr>
          <w:p w14:paraId="731ABCBE" w14:textId="3AE60D88" w:rsidR="008A1431" w:rsidRPr="00DB2DFD" w:rsidRDefault="008A1431" w:rsidP="008A1431">
            <w:pPr>
              <w:jc w:val="center"/>
              <w:rPr>
                <w:sz w:val="22"/>
                <w:szCs w:val="22"/>
              </w:rPr>
            </w:pPr>
            <w:r>
              <w:rPr>
                <w:sz w:val="22"/>
                <w:szCs w:val="22"/>
              </w:rPr>
              <w:t>0.0</w:t>
            </w:r>
            <w:r w:rsidR="004D0CB0">
              <w:rPr>
                <w:sz w:val="22"/>
                <w:szCs w:val="22"/>
              </w:rPr>
              <w:t>6</w:t>
            </w:r>
          </w:p>
        </w:tc>
        <w:tc>
          <w:tcPr>
            <w:tcW w:w="960" w:type="dxa"/>
            <w:vAlign w:val="center"/>
          </w:tcPr>
          <w:p w14:paraId="63C7AE25" w14:textId="0FFCBC6F" w:rsidR="008A1431" w:rsidRPr="00DB2DFD" w:rsidRDefault="008A1431" w:rsidP="008A1431">
            <w:pPr>
              <w:jc w:val="center"/>
              <w:rPr>
                <w:sz w:val="22"/>
                <w:szCs w:val="22"/>
              </w:rPr>
            </w:pPr>
            <w:r>
              <w:rPr>
                <w:sz w:val="22"/>
                <w:szCs w:val="22"/>
              </w:rPr>
              <w:t>0.0</w:t>
            </w:r>
            <w:r w:rsidR="004D0CB0">
              <w:rPr>
                <w:sz w:val="22"/>
                <w:szCs w:val="22"/>
              </w:rPr>
              <w:t>6</w:t>
            </w:r>
          </w:p>
        </w:tc>
        <w:tc>
          <w:tcPr>
            <w:tcW w:w="959" w:type="dxa"/>
            <w:vAlign w:val="center"/>
          </w:tcPr>
          <w:p w14:paraId="7E70BBA5" w14:textId="5836BAD6" w:rsidR="008A1431" w:rsidRPr="00DB2DFD" w:rsidRDefault="008A1431" w:rsidP="008A1431">
            <w:pPr>
              <w:jc w:val="center"/>
              <w:rPr>
                <w:sz w:val="22"/>
                <w:szCs w:val="22"/>
              </w:rPr>
            </w:pPr>
            <w:r>
              <w:rPr>
                <w:sz w:val="22"/>
                <w:szCs w:val="22"/>
              </w:rPr>
              <w:t>-</w:t>
            </w:r>
          </w:p>
        </w:tc>
        <w:tc>
          <w:tcPr>
            <w:tcW w:w="960" w:type="dxa"/>
            <w:vAlign w:val="center"/>
          </w:tcPr>
          <w:p w14:paraId="45DBB2F6" w14:textId="4AD876D5" w:rsidR="008A1431" w:rsidRPr="00DB2DFD" w:rsidRDefault="008A1431" w:rsidP="008A1431">
            <w:pPr>
              <w:jc w:val="center"/>
              <w:rPr>
                <w:sz w:val="22"/>
                <w:szCs w:val="22"/>
              </w:rPr>
            </w:pPr>
            <w:r>
              <w:rPr>
                <w:sz w:val="22"/>
                <w:szCs w:val="22"/>
              </w:rPr>
              <w:t>0.12</w:t>
            </w:r>
          </w:p>
        </w:tc>
        <w:tc>
          <w:tcPr>
            <w:tcW w:w="959" w:type="dxa"/>
            <w:vAlign w:val="center"/>
          </w:tcPr>
          <w:p w14:paraId="186D5153" w14:textId="1BC7FF29" w:rsidR="008A1431" w:rsidRPr="00DB2DFD" w:rsidRDefault="008A1431" w:rsidP="008A1431">
            <w:pPr>
              <w:jc w:val="center"/>
              <w:rPr>
                <w:sz w:val="22"/>
                <w:szCs w:val="22"/>
              </w:rPr>
            </w:pPr>
            <w:r>
              <w:rPr>
                <w:sz w:val="22"/>
                <w:szCs w:val="22"/>
              </w:rPr>
              <w:t>0.10</w:t>
            </w:r>
          </w:p>
        </w:tc>
        <w:tc>
          <w:tcPr>
            <w:tcW w:w="960" w:type="dxa"/>
            <w:vAlign w:val="center"/>
          </w:tcPr>
          <w:p w14:paraId="34D59B58" w14:textId="76427844" w:rsidR="008A1431" w:rsidRPr="00DB2DFD" w:rsidRDefault="008A1431" w:rsidP="008A1431">
            <w:pPr>
              <w:jc w:val="center"/>
              <w:rPr>
                <w:sz w:val="22"/>
                <w:szCs w:val="22"/>
              </w:rPr>
            </w:pPr>
            <w:r>
              <w:rPr>
                <w:sz w:val="22"/>
                <w:szCs w:val="22"/>
              </w:rPr>
              <w:t>0.01</w:t>
            </w:r>
          </w:p>
        </w:tc>
      </w:tr>
      <w:tr w:rsidR="008A1431" w14:paraId="29DC3D1A" w14:textId="77777777" w:rsidTr="008A1431">
        <w:tc>
          <w:tcPr>
            <w:tcW w:w="2610" w:type="dxa"/>
            <w:vAlign w:val="center"/>
          </w:tcPr>
          <w:p w14:paraId="09BC70FA" w14:textId="05965EC5" w:rsidR="008A1431" w:rsidRPr="00DB2DFD" w:rsidRDefault="008A1431" w:rsidP="008A1431">
            <w:pPr>
              <w:rPr>
                <w:sz w:val="22"/>
                <w:szCs w:val="22"/>
              </w:rPr>
            </w:pPr>
            <w:r>
              <w:rPr>
                <w:sz w:val="22"/>
                <w:szCs w:val="22"/>
              </w:rPr>
              <w:t>SFAB Preheat Oven #1</w:t>
            </w:r>
          </w:p>
        </w:tc>
        <w:tc>
          <w:tcPr>
            <w:tcW w:w="959" w:type="dxa"/>
            <w:vAlign w:val="center"/>
          </w:tcPr>
          <w:p w14:paraId="1D46D608" w14:textId="4E7E71CF" w:rsidR="008A1431" w:rsidRPr="00DB2DFD" w:rsidRDefault="008A1431" w:rsidP="008A1431">
            <w:pPr>
              <w:jc w:val="center"/>
              <w:rPr>
                <w:sz w:val="22"/>
                <w:szCs w:val="22"/>
              </w:rPr>
            </w:pPr>
            <w:r>
              <w:rPr>
                <w:sz w:val="22"/>
                <w:szCs w:val="22"/>
              </w:rPr>
              <w:t>0.20</w:t>
            </w:r>
          </w:p>
        </w:tc>
        <w:tc>
          <w:tcPr>
            <w:tcW w:w="959" w:type="dxa"/>
            <w:vAlign w:val="center"/>
          </w:tcPr>
          <w:p w14:paraId="418DA5A6" w14:textId="31027539" w:rsidR="008A1431" w:rsidRPr="00DB2DFD" w:rsidRDefault="008A1431" w:rsidP="008A1431">
            <w:pPr>
              <w:jc w:val="center"/>
              <w:rPr>
                <w:sz w:val="22"/>
                <w:szCs w:val="22"/>
              </w:rPr>
            </w:pPr>
            <w:r>
              <w:rPr>
                <w:sz w:val="22"/>
                <w:szCs w:val="22"/>
              </w:rPr>
              <w:t>0.20</w:t>
            </w:r>
          </w:p>
        </w:tc>
        <w:tc>
          <w:tcPr>
            <w:tcW w:w="960" w:type="dxa"/>
            <w:vAlign w:val="center"/>
          </w:tcPr>
          <w:p w14:paraId="72189719" w14:textId="44C81A3C" w:rsidR="008A1431" w:rsidRPr="00DB2DFD" w:rsidRDefault="00FD6050" w:rsidP="008A1431">
            <w:pPr>
              <w:jc w:val="center"/>
              <w:rPr>
                <w:sz w:val="22"/>
                <w:szCs w:val="22"/>
              </w:rPr>
            </w:pPr>
            <w:r>
              <w:rPr>
                <w:sz w:val="22"/>
                <w:szCs w:val="22"/>
              </w:rPr>
              <w:t>0.20</w:t>
            </w:r>
          </w:p>
        </w:tc>
        <w:tc>
          <w:tcPr>
            <w:tcW w:w="959" w:type="dxa"/>
            <w:vAlign w:val="center"/>
          </w:tcPr>
          <w:p w14:paraId="34698EAC" w14:textId="51820F14" w:rsidR="008A1431" w:rsidRPr="00DB2DFD" w:rsidRDefault="008A1431" w:rsidP="008A1431">
            <w:pPr>
              <w:jc w:val="center"/>
              <w:rPr>
                <w:sz w:val="22"/>
                <w:szCs w:val="22"/>
              </w:rPr>
            </w:pPr>
            <w:r>
              <w:rPr>
                <w:sz w:val="22"/>
                <w:szCs w:val="22"/>
              </w:rPr>
              <w:t>0.01</w:t>
            </w:r>
          </w:p>
        </w:tc>
        <w:tc>
          <w:tcPr>
            <w:tcW w:w="960" w:type="dxa"/>
            <w:vAlign w:val="center"/>
          </w:tcPr>
          <w:p w14:paraId="5093283C" w14:textId="265001EA" w:rsidR="008A1431" w:rsidRPr="00DB2DFD" w:rsidRDefault="008A1431" w:rsidP="008A1431">
            <w:pPr>
              <w:jc w:val="center"/>
              <w:rPr>
                <w:sz w:val="22"/>
                <w:szCs w:val="22"/>
              </w:rPr>
            </w:pPr>
            <w:r>
              <w:rPr>
                <w:sz w:val="22"/>
                <w:szCs w:val="22"/>
              </w:rPr>
              <w:t>0.40</w:t>
            </w:r>
          </w:p>
        </w:tc>
        <w:tc>
          <w:tcPr>
            <w:tcW w:w="959" w:type="dxa"/>
            <w:vAlign w:val="center"/>
          </w:tcPr>
          <w:p w14:paraId="387B7823" w14:textId="62EC0E2B" w:rsidR="008A1431" w:rsidRPr="00DB2DFD" w:rsidRDefault="008A1431" w:rsidP="008A1431">
            <w:pPr>
              <w:jc w:val="center"/>
              <w:rPr>
                <w:sz w:val="22"/>
                <w:szCs w:val="22"/>
              </w:rPr>
            </w:pPr>
            <w:r>
              <w:rPr>
                <w:sz w:val="22"/>
                <w:szCs w:val="22"/>
              </w:rPr>
              <w:t>0.34</w:t>
            </w:r>
          </w:p>
        </w:tc>
        <w:tc>
          <w:tcPr>
            <w:tcW w:w="960" w:type="dxa"/>
            <w:vAlign w:val="center"/>
          </w:tcPr>
          <w:p w14:paraId="73BCB798" w14:textId="2EA12379" w:rsidR="008A1431" w:rsidRPr="00DB2DFD" w:rsidRDefault="008A1431" w:rsidP="008A1431">
            <w:pPr>
              <w:jc w:val="center"/>
              <w:rPr>
                <w:sz w:val="22"/>
                <w:szCs w:val="22"/>
              </w:rPr>
            </w:pPr>
            <w:r>
              <w:rPr>
                <w:sz w:val="22"/>
                <w:szCs w:val="22"/>
              </w:rPr>
              <w:t>0.02</w:t>
            </w:r>
          </w:p>
        </w:tc>
      </w:tr>
      <w:tr w:rsidR="008A1431" w14:paraId="11200D0B" w14:textId="77777777" w:rsidTr="008A1431">
        <w:tc>
          <w:tcPr>
            <w:tcW w:w="2610" w:type="dxa"/>
            <w:vAlign w:val="center"/>
          </w:tcPr>
          <w:p w14:paraId="6A3A7E38" w14:textId="39C860CA" w:rsidR="008A1431" w:rsidRPr="00DB2DFD" w:rsidRDefault="008A1431" w:rsidP="008A1431">
            <w:pPr>
              <w:rPr>
                <w:sz w:val="22"/>
                <w:szCs w:val="22"/>
              </w:rPr>
            </w:pPr>
            <w:r>
              <w:rPr>
                <w:sz w:val="22"/>
                <w:szCs w:val="22"/>
              </w:rPr>
              <w:t>SFAB Preheat Oven #2</w:t>
            </w:r>
          </w:p>
        </w:tc>
        <w:tc>
          <w:tcPr>
            <w:tcW w:w="959" w:type="dxa"/>
            <w:vAlign w:val="center"/>
          </w:tcPr>
          <w:p w14:paraId="61092393" w14:textId="63A5A4A0" w:rsidR="008A1431" w:rsidRPr="00DB2DFD" w:rsidRDefault="008A1431" w:rsidP="008A1431">
            <w:pPr>
              <w:jc w:val="center"/>
              <w:rPr>
                <w:sz w:val="22"/>
                <w:szCs w:val="22"/>
              </w:rPr>
            </w:pPr>
            <w:r>
              <w:rPr>
                <w:sz w:val="22"/>
                <w:szCs w:val="22"/>
              </w:rPr>
              <w:t>0.20</w:t>
            </w:r>
          </w:p>
        </w:tc>
        <w:tc>
          <w:tcPr>
            <w:tcW w:w="959" w:type="dxa"/>
            <w:vAlign w:val="center"/>
          </w:tcPr>
          <w:p w14:paraId="36A6BA8F" w14:textId="74D17C96" w:rsidR="008A1431" w:rsidRPr="00DB2DFD" w:rsidRDefault="008A1431" w:rsidP="008A1431">
            <w:pPr>
              <w:jc w:val="center"/>
              <w:rPr>
                <w:sz w:val="22"/>
                <w:szCs w:val="22"/>
              </w:rPr>
            </w:pPr>
            <w:r>
              <w:rPr>
                <w:sz w:val="22"/>
                <w:szCs w:val="22"/>
              </w:rPr>
              <w:t>0.20</w:t>
            </w:r>
          </w:p>
        </w:tc>
        <w:tc>
          <w:tcPr>
            <w:tcW w:w="960" w:type="dxa"/>
            <w:vAlign w:val="center"/>
          </w:tcPr>
          <w:p w14:paraId="354FD8F7" w14:textId="7C88F60C" w:rsidR="008A1431" w:rsidRPr="00DB2DFD" w:rsidRDefault="00FD6050" w:rsidP="008A1431">
            <w:pPr>
              <w:jc w:val="center"/>
              <w:rPr>
                <w:sz w:val="22"/>
                <w:szCs w:val="22"/>
              </w:rPr>
            </w:pPr>
            <w:r>
              <w:rPr>
                <w:sz w:val="22"/>
                <w:szCs w:val="22"/>
              </w:rPr>
              <w:t>0.20</w:t>
            </w:r>
          </w:p>
        </w:tc>
        <w:tc>
          <w:tcPr>
            <w:tcW w:w="959" w:type="dxa"/>
            <w:vAlign w:val="center"/>
          </w:tcPr>
          <w:p w14:paraId="53434D7A" w14:textId="420380C2" w:rsidR="008A1431" w:rsidRPr="00DB2DFD" w:rsidRDefault="008A1431" w:rsidP="008A1431">
            <w:pPr>
              <w:jc w:val="center"/>
              <w:rPr>
                <w:sz w:val="22"/>
                <w:szCs w:val="22"/>
              </w:rPr>
            </w:pPr>
            <w:r>
              <w:rPr>
                <w:sz w:val="22"/>
                <w:szCs w:val="22"/>
              </w:rPr>
              <w:t>0.01</w:t>
            </w:r>
          </w:p>
        </w:tc>
        <w:tc>
          <w:tcPr>
            <w:tcW w:w="960" w:type="dxa"/>
            <w:vAlign w:val="center"/>
          </w:tcPr>
          <w:p w14:paraId="580021AD" w14:textId="7312C995" w:rsidR="008A1431" w:rsidRPr="00DB2DFD" w:rsidRDefault="008A1431" w:rsidP="008A1431">
            <w:pPr>
              <w:jc w:val="center"/>
              <w:rPr>
                <w:sz w:val="22"/>
                <w:szCs w:val="22"/>
              </w:rPr>
            </w:pPr>
            <w:r>
              <w:rPr>
                <w:sz w:val="22"/>
                <w:szCs w:val="22"/>
              </w:rPr>
              <w:t>0.40</w:t>
            </w:r>
          </w:p>
        </w:tc>
        <w:tc>
          <w:tcPr>
            <w:tcW w:w="959" w:type="dxa"/>
            <w:vAlign w:val="center"/>
          </w:tcPr>
          <w:p w14:paraId="1818DA51" w14:textId="2BAA12ED" w:rsidR="008A1431" w:rsidRPr="00DB2DFD" w:rsidRDefault="008A1431" w:rsidP="008A1431">
            <w:pPr>
              <w:jc w:val="center"/>
              <w:rPr>
                <w:sz w:val="22"/>
                <w:szCs w:val="22"/>
              </w:rPr>
            </w:pPr>
            <w:r>
              <w:rPr>
                <w:sz w:val="22"/>
                <w:szCs w:val="22"/>
              </w:rPr>
              <w:t>0.34</w:t>
            </w:r>
          </w:p>
        </w:tc>
        <w:tc>
          <w:tcPr>
            <w:tcW w:w="960" w:type="dxa"/>
            <w:vAlign w:val="center"/>
          </w:tcPr>
          <w:p w14:paraId="0C7C218E" w14:textId="3A8E1756" w:rsidR="008A1431" w:rsidRPr="00DB2DFD" w:rsidRDefault="008A1431" w:rsidP="008A1431">
            <w:pPr>
              <w:jc w:val="center"/>
              <w:rPr>
                <w:sz w:val="22"/>
                <w:szCs w:val="22"/>
              </w:rPr>
            </w:pPr>
            <w:r>
              <w:rPr>
                <w:sz w:val="22"/>
                <w:szCs w:val="22"/>
              </w:rPr>
              <w:t>0.02</w:t>
            </w:r>
          </w:p>
        </w:tc>
      </w:tr>
      <w:tr w:rsidR="008A1431" w14:paraId="2B19CB65" w14:textId="77777777" w:rsidTr="008A1431">
        <w:tc>
          <w:tcPr>
            <w:tcW w:w="2610" w:type="dxa"/>
            <w:vAlign w:val="center"/>
          </w:tcPr>
          <w:p w14:paraId="0642250B" w14:textId="79B2CDE4" w:rsidR="008A1431" w:rsidRPr="00DB2DFD" w:rsidRDefault="008A1431" w:rsidP="008A1431">
            <w:pPr>
              <w:rPr>
                <w:sz w:val="22"/>
                <w:szCs w:val="22"/>
              </w:rPr>
            </w:pPr>
            <w:r>
              <w:rPr>
                <w:sz w:val="22"/>
                <w:szCs w:val="22"/>
              </w:rPr>
              <w:t>SFAB Drying Oven</w:t>
            </w:r>
          </w:p>
        </w:tc>
        <w:tc>
          <w:tcPr>
            <w:tcW w:w="959" w:type="dxa"/>
            <w:vAlign w:val="center"/>
          </w:tcPr>
          <w:p w14:paraId="3293CEAB" w14:textId="09994529" w:rsidR="008A1431" w:rsidRPr="00DB2DFD" w:rsidRDefault="008A1431" w:rsidP="008A1431">
            <w:pPr>
              <w:jc w:val="center"/>
              <w:rPr>
                <w:sz w:val="22"/>
                <w:szCs w:val="22"/>
              </w:rPr>
            </w:pPr>
            <w:r>
              <w:rPr>
                <w:sz w:val="22"/>
                <w:szCs w:val="22"/>
              </w:rPr>
              <w:t>0.20</w:t>
            </w:r>
          </w:p>
        </w:tc>
        <w:tc>
          <w:tcPr>
            <w:tcW w:w="959" w:type="dxa"/>
            <w:vAlign w:val="center"/>
          </w:tcPr>
          <w:p w14:paraId="6B6C4E62" w14:textId="434A3CBF" w:rsidR="008A1431" w:rsidRPr="00DB2DFD" w:rsidRDefault="008A1431" w:rsidP="008A1431">
            <w:pPr>
              <w:jc w:val="center"/>
              <w:rPr>
                <w:sz w:val="22"/>
                <w:szCs w:val="22"/>
              </w:rPr>
            </w:pPr>
            <w:r>
              <w:rPr>
                <w:sz w:val="22"/>
                <w:szCs w:val="22"/>
              </w:rPr>
              <w:t>0.20</w:t>
            </w:r>
          </w:p>
        </w:tc>
        <w:tc>
          <w:tcPr>
            <w:tcW w:w="960" w:type="dxa"/>
            <w:vAlign w:val="center"/>
          </w:tcPr>
          <w:p w14:paraId="350804C2" w14:textId="64A12774" w:rsidR="008A1431" w:rsidRPr="00DB2DFD" w:rsidRDefault="00FD6050" w:rsidP="008A1431">
            <w:pPr>
              <w:jc w:val="center"/>
              <w:rPr>
                <w:sz w:val="22"/>
                <w:szCs w:val="22"/>
              </w:rPr>
            </w:pPr>
            <w:r>
              <w:rPr>
                <w:sz w:val="22"/>
                <w:szCs w:val="22"/>
              </w:rPr>
              <w:t>0.20</w:t>
            </w:r>
          </w:p>
        </w:tc>
        <w:tc>
          <w:tcPr>
            <w:tcW w:w="959" w:type="dxa"/>
            <w:vAlign w:val="center"/>
          </w:tcPr>
          <w:p w14:paraId="0FAB4366" w14:textId="11714B40" w:rsidR="008A1431" w:rsidRPr="00DB2DFD" w:rsidRDefault="008A1431" w:rsidP="008A1431">
            <w:pPr>
              <w:jc w:val="center"/>
              <w:rPr>
                <w:sz w:val="22"/>
                <w:szCs w:val="22"/>
              </w:rPr>
            </w:pPr>
            <w:r>
              <w:rPr>
                <w:sz w:val="22"/>
                <w:szCs w:val="22"/>
              </w:rPr>
              <w:t>0.01</w:t>
            </w:r>
          </w:p>
        </w:tc>
        <w:tc>
          <w:tcPr>
            <w:tcW w:w="960" w:type="dxa"/>
            <w:vAlign w:val="center"/>
          </w:tcPr>
          <w:p w14:paraId="38454705" w14:textId="473CA57C" w:rsidR="008A1431" w:rsidRPr="00DB2DFD" w:rsidRDefault="008A1431" w:rsidP="008A1431">
            <w:pPr>
              <w:jc w:val="center"/>
              <w:rPr>
                <w:sz w:val="22"/>
                <w:szCs w:val="22"/>
              </w:rPr>
            </w:pPr>
            <w:r>
              <w:rPr>
                <w:sz w:val="22"/>
                <w:szCs w:val="22"/>
              </w:rPr>
              <w:t>0.40</w:t>
            </w:r>
          </w:p>
        </w:tc>
        <w:tc>
          <w:tcPr>
            <w:tcW w:w="959" w:type="dxa"/>
            <w:vAlign w:val="center"/>
          </w:tcPr>
          <w:p w14:paraId="54C24FAD" w14:textId="11E9F304" w:rsidR="008A1431" w:rsidRPr="00DB2DFD" w:rsidRDefault="008A1431" w:rsidP="008A1431">
            <w:pPr>
              <w:jc w:val="center"/>
              <w:rPr>
                <w:sz w:val="22"/>
                <w:szCs w:val="22"/>
              </w:rPr>
            </w:pPr>
            <w:r>
              <w:rPr>
                <w:sz w:val="22"/>
                <w:szCs w:val="22"/>
              </w:rPr>
              <w:t>0.34</w:t>
            </w:r>
          </w:p>
        </w:tc>
        <w:tc>
          <w:tcPr>
            <w:tcW w:w="960" w:type="dxa"/>
            <w:vAlign w:val="center"/>
          </w:tcPr>
          <w:p w14:paraId="3D7776EA" w14:textId="31AD3CEF" w:rsidR="008A1431" w:rsidRPr="00DB2DFD" w:rsidRDefault="008A1431" w:rsidP="008A1431">
            <w:pPr>
              <w:jc w:val="center"/>
              <w:rPr>
                <w:sz w:val="22"/>
                <w:szCs w:val="22"/>
              </w:rPr>
            </w:pPr>
            <w:r>
              <w:rPr>
                <w:sz w:val="22"/>
                <w:szCs w:val="22"/>
              </w:rPr>
              <w:t>0.02</w:t>
            </w:r>
          </w:p>
        </w:tc>
      </w:tr>
      <w:tr w:rsidR="008A1431" w14:paraId="0C962A61" w14:textId="77777777" w:rsidTr="008A1431">
        <w:tc>
          <w:tcPr>
            <w:tcW w:w="2610" w:type="dxa"/>
            <w:vAlign w:val="center"/>
          </w:tcPr>
          <w:p w14:paraId="18C854EC" w14:textId="2EDD3265" w:rsidR="008A1431" w:rsidRPr="00DB2DFD" w:rsidRDefault="008A1431" w:rsidP="008A1431">
            <w:pPr>
              <w:rPr>
                <w:sz w:val="22"/>
                <w:szCs w:val="22"/>
              </w:rPr>
            </w:pPr>
            <w:r>
              <w:rPr>
                <w:sz w:val="22"/>
                <w:szCs w:val="22"/>
              </w:rPr>
              <w:t>PC Cure Oven</w:t>
            </w:r>
          </w:p>
        </w:tc>
        <w:tc>
          <w:tcPr>
            <w:tcW w:w="959" w:type="dxa"/>
            <w:vAlign w:val="center"/>
          </w:tcPr>
          <w:p w14:paraId="586E9E6D" w14:textId="21287BA2" w:rsidR="008A1431" w:rsidRPr="00DB2DFD" w:rsidRDefault="008A1431" w:rsidP="008A1431">
            <w:pPr>
              <w:jc w:val="center"/>
              <w:rPr>
                <w:sz w:val="22"/>
                <w:szCs w:val="22"/>
              </w:rPr>
            </w:pPr>
            <w:r>
              <w:rPr>
                <w:sz w:val="22"/>
                <w:szCs w:val="22"/>
              </w:rPr>
              <w:t>0.15</w:t>
            </w:r>
          </w:p>
        </w:tc>
        <w:tc>
          <w:tcPr>
            <w:tcW w:w="959" w:type="dxa"/>
            <w:vAlign w:val="center"/>
          </w:tcPr>
          <w:p w14:paraId="26C09A62" w14:textId="0373DE1E" w:rsidR="008A1431" w:rsidRPr="00DB2DFD" w:rsidRDefault="008A1431" w:rsidP="008A1431">
            <w:pPr>
              <w:jc w:val="center"/>
              <w:rPr>
                <w:sz w:val="22"/>
                <w:szCs w:val="22"/>
              </w:rPr>
            </w:pPr>
            <w:r>
              <w:rPr>
                <w:sz w:val="22"/>
                <w:szCs w:val="22"/>
              </w:rPr>
              <w:t>0.15</w:t>
            </w:r>
          </w:p>
        </w:tc>
        <w:tc>
          <w:tcPr>
            <w:tcW w:w="960" w:type="dxa"/>
            <w:vAlign w:val="center"/>
          </w:tcPr>
          <w:p w14:paraId="45EF72D3" w14:textId="33F4C739" w:rsidR="008A1431" w:rsidRPr="00DB2DFD" w:rsidRDefault="00FD6050" w:rsidP="008A1431">
            <w:pPr>
              <w:jc w:val="center"/>
              <w:rPr>
                <w:sz w:val="22"/>
                <w:szCs w:val="22"/>
              </w:rPr>
            </w:pPr>
            <w:r>
              <w:rPr>
                <w:sz w:val="22"/>
                <w:szCs w:val="22"/>
              </w:rPr>
              <w:t>0.15</w:t>
            </w:r>
          </w:p>
        </w:tc>
        <w:tc>
          <w:tcPr>
            <w:tcW w:w="959" w:type="dxa"/>
            <w:vAlign w:val="center"/>
          </w:tcPr>
          <w:p w14:paraId="0E14DE99" w14:textId="1C762FC3" w:rsidR="008A1431" w:rsidRPr="00DB2DFD" w:rsidRDefault="008A1431" w:rsidP="008A1431">
            <w:pPr>
              <w:jc w:val="center"/>
              <w:rPr>
                <w:sz w:val="22"/>
                <w:szCs w:val="22"/>
              </w:rPr>
            </w:pPr>
            <w:r>
              <w:rPr>
                <w:sz w:val="22"/>
                <w:szCs w:val="22"/>
              </w:rPr>
              <w:t>0.01</w:t>
            </w:r>
          </w:p>
        </w:tc>
        <w:tc>
          <w:tcPr>
            <w:tcW w:w="960" w:type="dxa"/>
            <w:vAlign w:val="center"/>
          </w:tcPr>
          <w:p w14:paraId="51AC542B" w14:textId="04AFE996" w:rsidR="008A1431" w:rsidRPr="00DB2DFD" w:rsidRDefault="008A1431" w:rsidP="008A1431">
            <w:pPr>
              <w:jc w:val="center"/>
              <w:rPr>
                <w:sz w:val="22"/>
                <w:szCs w:val="22"/>
              </w:rPr>
            </w:pPr>
            <w:r>
              <w:rPr>
                <w:sz w:val="22"/>
                <w:szCs w:val="22"/>
              </w:rPr>
              <w:t>0.28</w:t>
            </w:r>
          </w:p>
        </w:tc>
        <w:tc>
          <w:tcPr>
            <w:tcW w:w="959" w:type="dxa"/>
            <w:vAlign w:val="center"/>
          </w:tcPr>
          <w:p w14:paraId="5B25E57D" w14:textId="3EF3A437" w:rsidR="008A1431" w:rsidRPr="00DB2DFD" w:rsidRDefault="008A1431" w:rsidP="008A1431">
            <w:pPr>
              <w:jc w:val="center"/>
              <w:rPr>
                <w:sz w:val="22"/>
                <w:szCs w:val="22"/>
              </w:rPr>
            </w:pPr>
            <w:r>
              <w:rPr>
                <w:sz w:val="22"/>
                <w:szCs w:val="22"/>
              </w:rPr>
              <w:t>0.24</w:t>
            </w:r>
          </w:p>
        </w:tc>
        <w:tc>
          <w:tcPr>
            <w:tcW w:w="960" w:type="dxa"/>
            <w:vAlign w:val="center"/>
          </w:tcPr>
          <w:p w14:paraId="57E1CD84" w14:textId="69D929E8" w:rsidR="008A1431" w:rsidRPr="00DB2DFD" w:rsidRDefault="008A1431" w:rsidP="008A1431">
            <w:pPr>
              <w:jc w:val="center"/>
              <w:rPr>
                <w:sz w:val="22"/>
                <w:szCs w:val="22"/>
              </w:rPr>
            </w:pPr>
            <w:r>
              <w:rPr>
                <w:sz w:val="22"/>
                <w:szCs w:val="22"/>
              </w:rPr>
              <w:t>0.02</w:t>
            </w:r>
          </w:p>
        </w:tc>
      </w:tr>
      <w:tr w:rsidR="008A1431" w14:paraId="0EA0E18E" w14:textId="77777777" w:rsidTr="008A1431">
        <w:tc>
          <w:tcPr>
            <w:tcW w:w="2610" w:type="dxa"/>
            <w:vAlign w:val="center"/>
          </w:tcPr>
          <w:p w14:paraId="76B7BEA0" w14:textId="04CCE2C0" w:rsidR="008A1431" w:rsidRPr="00DB2DFD" w:rsidRDefault="008A1431" w:rsidP="008A1431">
            <w:pPr>
              <w:rPr>
                <w:sz w:val="22"/>
                <w:szCs w:val="22"/>
              </w:rPr>
            </w:pPr>
            <w:r>
              <w:rPr>
                <w:sz w:val="22"/>
                <w:szCs w:val="22"/>
              </w:rPr>
              <w:t>PC Batch Oven</w:t>
            </w:r>
          </w:p>
        </w:tc>
        <w:tc>
          <w:tcPr>
            <w:tcW w:w="959" w:type="dxa"/>
            <w:vAlign w:val="center"/>
          </w:tcPr>
          <w:p w14:paraId="0218FD56" w14:textId="2AED288E" w:rsidR="008A1431" w:rsidRPr="00DB2DFD" w:rsidRDefault="008A1431" w:rsidP="008A1431">
            <w:pPr>
              <w:jc w:val="center"/>
              <w:rPr>
                <w:sz w:val="22"/>
                <w:szCs w:val="22"/>
              </w:rPr>
            </w:pPr>
            <w:r>
              <w:rPr>
                <w:sz w:val="22"/>
                <w:szCs w:val="22"/>
              </w:rPr>
              <w:t>0.08</w:t>
            </w:r>
          </w:p>
        </w:tc>
        <w:tc>
          <w:tcPr>
            <w:tcW w:w="959" w:type="dxa"/>
            <w:vAlign w:val="center"/>
          </w:tcPr>
          <w:p w14:paraId="13BB6D70" w14:textId="213F83A7" w:rsidR="008A1431" w:rsidRPr="00DB2DFD" w:rsidRDefault="008A1431" w:rsidP="008A1431">
            <w:pPr>
              <w:jc w:val="center"/>
              <w:rPr>
                <w:sz w:val="22"/>
                <w:szCs w:val="22"/>
              </w:rPr>
            </w:pPr>
            <w:r>
              <w:rPr>
                <w:sz w:val="22"/>
                <w:szCs w:val="22"/>
              </w:rPr>
              <w:t>0.08</w:t>
            </w:r>
          </w:p>
        </w:tc>
        <w:tc>
          <w:tcPr>
            <w:tcW w:w="960" w:type="dxa"/>
            <w:vAlign w:val="center"/>
          </w:tcPr>
          <w:p w14:paraId="18622714" w14:textId="45E44951" w:rsidR="008A1431" w:rsidRPr="00DB2DFD" w:rsidRDefault="00FD6050" w:rsidP="008A1431">
            <w:pPr>
              <w:jc w:val="center"/>
              <w:rPr>
                <w:sz w:val="22"/>
                <w:szCs w:val="22"/>
              </w:rPr>
            </w:pPr>
            <w:r>
              <w:rPr>
                <w:sz w:val="22"/>
                <w:szCs w:val="22"/>
              </w:rPr>
              <w:t>0.08</w:t>
            </w:r>
          </w:p>
        </w:tc>
        <w:tc>
          <w:tcPr>
            <w:tcW w:w="959" w:type="dxa"/>
            <w:vAlign w:val="center"/>
          </w:tcPr>
          <w:p w14:paraId="0881D607" w14:textId="752AE6BD" w:rsidR="008A1431" w:rsidRPr="00DB2DFD" w:rsidRDefault="008A1431" w:rsidP="008A1431">
            <w:pPr>
              <w:jc w:val="center"/>
              <w:rPr>
                <w:sz w:val="22"/>
                <w:szCs w:val="22"/>
              </w:rPr>
            </w:pPr>
            <w:r>
              <w:rPr>
                <w:sz w:val="22"/>
                <w:szCs w:val="22"/>
              </w:rPr>
              <w:t>0.01</w:t>
            </w:r>
          </w:p>
        </w:tc>
        <w:tc>
          <w:tcPr>
            <w:tcW w:w="960" w:type="dxa"/>
            <w:vAlign w:val="center"/>
          </w:tcPr>
          <w:p w14:paraId="77FC8103" w14:textId="7DCACC9D" w:rsidR="008A1431" w:rsidRPr="00DB2DFD" w:rsidRDefault="00E555F8" w:rsidP="008A1431">
            <w:pPr>
              <w:jc w:val="center"/>
              <w:rPr>
                <w:sz w:val="22"/>
                <w:szCs w:val="22"/>
              </w:rPr>
            </w:pPr>
            <w:r>
              <w:rPr>
                <w:sz w:val="22"/>
                <w:szCs w:val="22"/>
              </w:rPr>
              <w:t>0.16</w:t>
            </w:r>
          </w:p>
        </w:tc>
        <w:tc>
          <w:tcPr>
            <w:tcW w:w="959" w:type="dxa"/>
            <w:vAlign w:val="center"/>
          </w:tcPr>
          <w:p w14:paraId="2CEE5251" w14:textId="5AC6A48A" w:rsidR="008A1431" w:rsidRPr="00DB2DFD" w:rsidRDefault="00E555F8" w:rsidP="008A1431">
            <w:pPr>
              <w:jc w:val="center"/>
              <w:rPr>
                <w:sz w:val="22"/>
                <w:szCs w:val="22"/>
              </w:rPr>
            </w:pPr>
            <w:r>
              <w:rPr>
                <w:sz w:val="22"/>
                <w:szCs w:val="22"/>
              </w:rPr>
              <w:t>0.13</w:t>
            </w:r>
          </w:p>
        </w:tc>
        <w:tc>
          <w:tcPr>
            <w:tcW w:w="960" w:type="dxa"/>
            <w:vAlign w:val="center"/>
          </w:tcPr>
          <w:p w14:paraId="4DD8BB93" w14:textId="0152621B" w:rsidR="008A1431" w:rsidRPr="00DB2DFD" w:rsidRDefault="00E555F8" w:rsidP="008A1431">
            <w:pPr>
              <w:jc w:val="center"/>
              <w:rPr>
                <w:sz w:val="22"/>
                <w:szCs w:val="22"/>
              </w:rPr>
            </w:pPr>
            <w:r>
              <w:rPr>
                <w:sz w:val="22"/>
                <w:szCs w:val="22"/>
              </w:rPr>
              <w:t>0.01</w:t>
            </w:r>
          </w:p>
        </w:tc>
      </w:tr>
      <w:tr w:rsidR="008A1431" w14:paraId="7159BDE3" w14:textId="77777777" w:rsidTr="008A1431">
        <w:tc>
          <w:tcPr>
            <w:tcW w:w="2610" w:type="dxa"/>
            <w:vAlign w:val="center"/>
          </w:tcPr>
          <w:p w14:paraId="7B788227" w14:textId="73235674" w:rsidR="008A1431" w:rsidRPr="00DB2DFD" w:rsidRDefault="008A1431" w:rsidP="008A1431">
            <w:pPr>
              <w:rPr>
                <w:sz w:val="22"/>
                <w:szCs w:val="22"/>
              </w:rPr>
            </w:pPr>
            <w:r>
              <w:rPr>
                <w:sz w:val="22"/>
                <w:szCs w:val="22"/>
              </w:rPr>
              <w:t>OFAB Makeup Air Unit #1</w:t>
            </w:r>
          </w:p>
        </w:tc>
        <w:tc>
          <w:tcPr>
            <w:tcW w:w="959" w:type="dxa"/>
            <w:vAlign w:val="center"/>
          </w:tcPr>
          <w:p w14:paraId="59260149" w14:textId="5443343F" w:rsidR="008A1431" w:rsidRPr="00DB2DFD" w:rsidRDefault="00E555F8" w:rsidP="008A1431">
            <w:pPr>
              <w:jc w:val="center"/>
              <w:rPr>
                <w:sz w:val="22"/>
                <w:szCs w:val="22"/>
              </w:rPr>
            </w:pPr>
            <w:r>
              <w:rPr>
                <w:sz w:val="22"/>
                <w:szCs w:val="22"/>
              </w:rPr>
              <w:t>0.22</w:t>
            </w:r>
          </w:p>
        </w:tc>
        <w:tc>
          <w:tcPr>
            <w:tcW w:w="959" w:type="dxa"/>
            <w:vAlign w:val="center"/>
          </w:tcPr>
          <w:p w14:paraId="220C35BF" w14:textId="1F68C21B" w:rsidR="008A1431" w:rsidRPr="00DB2DFD" w:rsidRDefault="00E555F8" w:rsidP="008A1431">
            <w:pPr>
              <w:jc w:val="center"/>
              <w:rPr>
                <w:sz w:val="22"/>
                <w:szCs w:val="22"/>
              </w:rPr>
            </w:pPr>
            <w:r>
              <w:rPr>
                <w:sz w:val="22"/>
                <w:szCs w:val="22"/>
              </w:rPr>
              <w:t>0.22</w:t>
            </w:r>
          </w:p>
        </w:tc>
        <w:tc>
          <w:tcPr>
            <w:tcW w:w="960" w:type="dxa"/>
            <w:vAlign w:val="center"/>
          </w:tcPr>
          <w:p w14:paraId="4976AD43" w14:textId="18BB6AF8" w:rsidR="008A1431" w:rsidRPr="00DB2DFD" w:rsidRDefault="00FD6050" w:rsidP="008A1431">
            <w:pPr>
              <w:jc w:val="center"/>
              <w:rPr>
                <w:sz w:val="22"/>
                <w:szCs w:val="22"/>
              </w:rPr>
            </w:pPr>
            <w:r>
              <w:rPr>
                <w:sz w:val="22"/>
                <w:szCs w:val="22"/>
              </w:rPr>
              <w:t>0.22</w:t>
            </w:r>
          </w:p>
        </w:tc>
        <w:tc>
          <w:tcPr>
            <w:tcW w:w="959" w:type="dxa"/>
            <w:vAlign w:val="center"/>
          </w:tcPr>
          <w:p w14:paraId="68E1CB1D" w14:textId="1906F43E" w:rsidR="008A1431" w:rsidRPr="00DB2DFD" w:rsidRDefault="00E555F8" w:rsidP="008A1431">
            <w:pPr>
              <w:jc w:val="center"/>
              <w:rPr>
                <w:sz w:val="22"/>
                <w:szCs w:val="22"/>
              </w:rPr>
            </w:pPr>
            <w:r>
              <w:rPr>
                <w:sz w:val="22"/>
                <w:szCs w:val="22"/>
              </w:rPr>
              <w:t>0.01</w:t>
            </w:r>
          </w:p>
        </w:tc>
        <w:tc>
          <w:tcPr>
            <w:tcW w:w="960" w:type="dxa"/>
            <w:vAlign w:val="center"/>
          </w:tcPr>
          <w:p w14:paraId="393A0754" w14:textId="2EE2427D" w:rsidR="008A1431" w:rsidRPr="00DB2DFD" w:rsidRDefault="00E555F8" w:rsidP="008A1431">
            <w:pPr>
              <w:jc w:val="center"/>
              <w:rPr>
                <w:sz w:val="22"/>
                <w:szCs w:val="22"/>
              </w:rPr>
            </w:pPr>
            <w:r>
              <w:rPr>
                <w:sz w:val="22"/>
                <w:szCs w:val="22"/>
              </w:rPr>
              <w:t>0.42</w:t>
            </w:r>
          </w:p>
        </w:tc>
        <w:tc>
          <w:tcPr>
            <w:tcW w:w="959" w:type="dxa"/>
            <w:vAlign w:val="center"/>
          </w:tcPr>
          <w:p w14:paraId="0237FBA9" w14:textId="25380791" w:rsidR="008A1431" w:rsidRPr="00DB2DFD" w:rsidRDefault="00E555F8" w:rsidP="008A1431">
            <w:pPr>
              <w:jc w:val="center"/>
              <w:rPr>
                <w:sz w:val="22"/>
                <w:szCs w:val="22"/>
              </w:rPr>
            </w:pPr>
            <w:r>
              <w:rPr>
                <w:sz w:val="22"/>
                <w:szCs w:val="22"/>
              </w:rPr>
              <w:t>0.35</w:t>
            </w:r>
          </w:p>
        </w:tc>
        <w:tc>
          <w:tcPr>
            <w:tcW w:w="960" w:type="dxa"/>
            <w:vAlign w:val="center"/>
          </w:tcPr>
          <w:p w14:paraId="38BE2337" w14:textId="54A84186" w:rsidR="008A1431" w:rsidRPr="00DB2DFD" w:rsidRDefault="00E555F8" w:rsidP="008A1431">
            <w:pPr>
              <w:jc w:val="center"/>
              <w:rPr>
                <w:sz w:val="22"/>
                <w:szCs w:val="22"/>
              </w:rPr>
            </w:pPr>
            <w:r>
              <w:rPr>
                <w:sz w:val="22"/>
                <w:szCs w:val="22"/>
              </w:rPr>
              <w:t>0.02</w:t>
            </w:r>
          </w:p>
        </w:tc>
      </w:tr>
      <w:tr w:rsidR="008A1431" w14:paraId="4CAA7B17" w14:textId="77777777" w:rsidTr="008A1431">
        <w:tc>
          <w:tcPr>
            <w:tcW w:w="2610" w:type="dxa"/>
            <w:vAlign w:val="center"/>
          </w:tcPr>
          <w:p w14:paraId="5B63D7F8" w14:textId="7B281D29" w:rsidR="008A1431" w:rsidRPr="00DB2DFD" w:rsidRDefault="008A1431" w:rsidP="008A1431">
            <w:pPr>
              <w:rPr>
                <w:sz w:val="22"/>
                <w:szCs w:val="22"/>
              </w:rPr>
            </w:pPr>
            <w:r>
              <w:rPr>
                <w:sz w:val="22"/>
                <w:szCs w:val="22"/>
              </w:rPr>
              <w:t>OFAB Makeup Air Unit #2</w:t>
            </w:r>
          </w:p>
        </w:tc>
        <w:tc>
          <w:tcPr>
            <w:tcW w:w="959" w:type="dxa"/>
            <w:vAlign w:val="center"/>
          </w:tcPr>
          <w:p w14:paraId="206124B4" w14:textId="65F1D412" w:rsidR="008A1431" w:rsidRPr="00DB2DFD" w:rsidRDefault="00E555F8" w:rsidP="008A1431">
            <w:pPr>
              <w:jc w:val="center"/>
              <w:rPr>
                <w:sz w:val="22"/>
                <w:szCs w:val="22"/>
              </w:rPr>
            </w:pPr>
            <w:r>
              <w:rPr>
                <w:sz w:val="22"/>
                <w:szCs w:val="22"/>
              </w:rPr>
              <w:t>0.22</w:t>
            </w:r>
          </w:p>
        </w:tc>
        <w:tc>
          <w:tcPr>
            <w:tcW w:w="959" w:type="dxa"/>
            <w:vAlign w:val="center"/>
          </w:tcPr>
          <w:p w14:paraId="49C9DE8A" w14:textId="2FB9A692" w:rsidR="008A1431" w:rsidRPr="00DB2DFD" w:rsidRDefault="00E555F8" w:rsidP="008A1431">
            <w:pPr>
              <w:jc w:val="center"/>
              <w:rPr>
                <w:sz w:val="22"/>
                <w:szCs w:val="22"/>
              </w:rPr>
            </w:pPr>
            <w:r>
              <w:rPr>
                <w:sz w:val="22"/>
                <w:szCs w:val="22"/>
              </w:rPr>
              <w:t>0.22</w:t>
            </w:r>
          </w:p>
        </w:tc>
        <w:tc>
          <w:tcPr>
            <w:tcW w:w="960" w:type="dxa"/>
            <w:vAlign w:val="center"/>
          </w:tcPr>
          <w:p w14:paraId="606B231B" w14:textId="75B1FE85" w:rsidR="008A1431" w:rsidRPr="00DB2DFD" w:rsidRDefault="00FD6050" w:rsidP="008A1431">
            <w:pPr>
              <w:jc w:val="center"/>
              <w:rPr>
                <w:sz w:val="22"/>
                <w:szCs w:val="22"/>
              </w:rPr>
            </w:pPr>
            <w:r>
              <w:rPr>
                <w:sz w:val="22"/>
                <w:szCs w:val="22"/>
              </w:rPr>
              <w:t>0.22</w:t>
            </w:r>
          </w:p>
        </w:tc>
        <w:tc>
          <w:tcPr>
            <w:tcW w:w="959" w:type="dxa"/>
            <w:vAlign w:val="center"/>
          </w:tcPr>
          <w:p w14:paraId="092EADE3" w14:textId="49B897D9" w:rsidR="008A1431" w:rsidRPr="00DB2DFD" w:rsidRDefault="00E555F8" w:rsidP="008A1431">
            <w:pPr>
              <w:jc w:val="center"/>
              <w:rPr>
                <w:sz w:val="22"/>
                <w:szCs w:val="22"/>
              </w:rPr>
            </w:pPr>
            <w:r>
              <w:rPr>
                <w:sz w:val="22"/>
                <w:szCs w:val="22"/>
              </w:rPr>
              <w:t>0.01</w:t>
            </w:r>
          </w:p>
        </w:tc>
        <w:tc>
          <w:tcPr>
            <w:tcW w:w="960" w:type="dxa"/>
            <w:vAlign w:val="center"/>
          </w:tcPr>
          <w:p w14:paraId="5ED1803B" w14:textId="480153E8" w:rsidR="008A1431" w:rsidRPr="00DB2DFD" w:rsidRDefault="00E555F8" w:rsidP="008A1431">
            <w:pPr>
              <w:jc w:val="center"/>
              <w:rPr>
                <w:sz w:val="22"/>
                <w:szCs w:val="22"/>
              </w:rPr>
            </w:pPr>
            <w:r>
              <w:rPr>
                <w:sz w:val="22"/>
                <w:szCs w:val="22"/>
              </w:rPr>
              <w:t>0.42</w:t>
            </w:r>
          </w:p>
        </w:tc>
        <w:tc>
          <w:tcPr>
            <w:tcW w:w="959" w:type="dxa"/>
            <w:vAlign w:val="center"/>
          </w:tcPr>
          <w:p w14:paraId="26313C10" w14:textId="0C40FD7F" w:rsidR="008A1431" w:rsidRPr="00DB2DFD" w:rsidRDefault="00E555F8" w:rsidP="008A1431">
            <w:pPr>
              <w:jc w:val="center"/>
              <w:rPr>
                <w:sz w:val="22"/>
                <w:szCs w:val="22"/>
              </w:rPr>
            </w:pPr>
            <w:r>
              <w:rPr>
                <w:sz w:val="22"/>
                <w:szCs w:val="22"/>
              </w:rPr>
              <w:t>0.35</w:t>
            </w:r>
          </w:p>
        </w:tc>
        <w:tc>
          <w:tcPr>
            <w:tcW w:w="960" w:type="dxa"/>
            <w:vAlign w:val="center"/>
          </w:tcPr>
          <w:p w14:paraId="49DA097A" w14:textId="75AF5ED1" w:rsidR="008A1431" w:rsidRPr="00DB2DFD" w:rsidRDefault="00E555F8" w:rsidP="008A1431">
            <w:pPr>
              <w:jc w:val="center"/>
              <w:rPr>
                <w:sz w:val="22"/>
                <w:szCs w:val="22"/>
              </w:rPr>
            </w:pPr>
            <w:r>
              <w:rPr>
                <w:sz w:val="22"/>
                <w:szCs w:val="22"/>
              </w:rPr>
              <w:t>0.02</w:t>
            </w:r>
          </w:p>
        </w:tc>
      </w:tr>
    </w:tbl>
    <w:p w14:paraId="2895AA9F" w14:textId="77777777" w:rsidR="004C1A78" w:rsidRDefault="004C1A78" w:rsidP="004C1A78">
      <w:pPr>
        <w:shd w:val="clear" w:color="auto" w:fill="FFFFFF" w:themeFill="background1"/>
      </w:pPr>
    </w:p>
    <w:p w14:paraId="527ACAAC" w14:textId="268854C6" w:rsidR="004C1A78" w:rsidRPr="00D47D97" w:rsidRDefault="00E555F8" w:rsidP="00462D5F">
      <w:pPr>
        <w:pStyle w:val="ListParagraph"/>
        <w:numPr>
          <w:ilvl w:val="0"/>
          <w:numId w:val="127"/>
        </w:numPr>
      </w:pPr>
      <w:r>
        <w:t>BIW</w:t>
      </w:r>
      <w:r w:rsidR="004C1A78" w:rsidRPr="00D47D97">
        <w:t xml:space="preserve"> shall comply with all requirements of 40 C.F.R.</w:t>
      </w:r>
      <w:r w:rsidR="004C1A78">
        <w:t xml:space="preserve"> Part 63, Subpart JJJJJJ</w:t>
      </w:r>
      <w:r w:rsidR="004C1A78" w:rsidRPr="00D47D97">
        <w:t xml:space="preserve"> applicable to </w:t>
      </w:r>
      <w:r w:rsidR="004C1A78" w:rsidRPr="00E555F8">
        <w:rPr>
          <w:bCs/>
          <w:iCs/>
        </w:rPr>
        <w:t>Boiler #</w:t>
      </w:r>
      <w:r w:rsidRPr="00E555F8">
        <w:rPr>
          <w:bCs/>
          <w:iCs/>
        </w:rPr>
        <w:t>8</w:t>
      </w:r>
      <w:r w:rsidR="004C1A78" w:rsidRPr="00E555F8">
        <w:rPr>
          <w:bCs/>
          <w:iCs/>
        </w:rPr>
        <w:t xml:space="preserve"> </w:t>
      </w:r>
      <w:r w:rsidR="004C1A78" w:rsidRPr="00D47D97">
        <w:t>including, but not limited to, the following</w:t>
      </w:r>
      <w:r w:rsidR="004C1A78">
        <w:t>:</w:t>
      </w:r>
      <w:r>
        <w:t xml:space="preserve"> </w:t>
      </w:r>
      <w:r w:rsidR="004C1A78" w:rsidRPr="00D47D97">
        <w:t>[incorporated under 06</w:t>
      </w:r>
      <w:r>
        <w:noBreakHyphen/>
      </w:r>
      <w:r w:rsidR="004C1A78" w:rsidRPr="00D47D97">
        <w:t>096</w:t>
      </w:r>
      <w:r>
        <w:t> </w:t>
      </w:r>
      <w:r w:rsidR="004C1A78" w:rsidRPr="00D47D97">
        <w:t>C.M.R. ch. 115, BPT]</w:t>
      </w:r>
    </w:p>
    <w:p w14:paraId="4BBDFC07" w14:textId="77777777" w:rsidR="004C1A78" w:rsidRDefault="004C1A78" w:rsidP="004C1A78">
      <w:pPr>
        <w:shd w:val="clear" w:color="auto" w:fill="FFFFFF" w:themeFill="background1"/>
        <w:ind w:left="1080"/>
      </w:pPr>
    </w:p>
    <w:p w14:paraId="7205B3BC" w14:textId="71B872B9" w:rsidR="004C1A78" w:rsidRDefault="00462D5F" w:rsidP="00462D5F">
      <w:pPr>
        <w:tabs>
          <w:tab w:val="left" w:pos="1800"/>
          <w:tab w:val="left" w:pos="2160"/>
          <w:tab w:val="left" w:pos="2520"/>
        </w:tabs>
        <w:ind w:left="1080"/>
      </w:pPr>
      <w:r w:rsidRPr="00462D5F">
        <w:t>If</w:t>
      </w:r>
      <w:r>
        <w:t xml:space="preserve"> BIW switches Boiler #8 fuel that results in the applicability of a different subcategory within Subpart JJJJJJ or results in the boiler becoming subject to Subpart JJJJJJ because of the firing of distillate fuel outside the definition of a gas-fired unit, BIW must demonstrate compliance with the applicable requirements withing 180 days of the effective date of the fuel switch. Notification of such a change must be submitted within 30 days of the change and according to § 63.11225(g). [40 C.F.R. § 63.11210(</w:t>
      </w:r>
      <w:proofErr w:type="spellStart"/>
      <w:r>
        <w:t>i</w:t>
      </w:r>
      <w:proofErr w:type="spellEnd"/>
      <w:r>
        <w:t>)] Likewise, if Boiler #8 is switching out of this subpart due to a fuel change that results in the boiler meeting the definition of gas-fired boiler as defined in § 63.11237, BIW must provide notice of the date upon which the fuel switch occurred.</w:t>
      </w:r>
    </w:p>
    <w:p w14:paraId="083F6622" w14:textId="77777777" w:rsidR="00462D5F" w:rsidRDefault="00462D5F" w:rsidP="00462D5F">
      <w:pPr>
        <w:tabs>
          <w:tab w:val="left" w:pos="1800"/>
          <w:tab w:val="left" w:pos="2160"/>
          <w:tab w:val="left" w:pos="2520"/>
        </w:tabs>
        <w:ind w:left="1080"/>
      </w:pPr>
    </w:p>
    <w:p w14:paraId="78AEF69B" w14:textId="6A43D2F4" w:rsidR="00462D5F" w:rsidRDefault="00462D5F" w:rsidP="00462D5F">
      <w:pPr>
        <w:tabs>
          <w:tab w:val="left" w:pos="1800"/>
          <w:tab w:val="left" w:pos="2160"/>
          <w:tab w:val="left" w:pos="2520"/>
        </w:tabs>
        <w:ind w:left="1080"/>
      </w:pPr>
      <w:r>
        <w:t>The fuel switch notification must identify the following:</w:t>
      </w:r>
    </w:p>
    <w:p w14:paraId="0282D410" w14:textId="77777777" w:rsidR="00462D5F" w:rsidRDefault="00462D5F" w:rsidP="00462D5F">
      <w:pPr>
        <w:tabs>
          <w:tab w:val="left" w:pos="1800"/>
          <w:tab w:val="left" w:pos="2160"/>
          <w:tab w:val="left" w:pos="2520"/>
        </w:tabs>
        <w:ind w:left="1080"/>
      </w:pPr>
    </w:p>
    <w:p w14:paraId="6B21538D" w14:textId="5B029D9B" w:rsidR="00462D5F" w:rsidRDefault="00462D5F" w:rsidP="00462D5F">
      <w:pPr>
        <w:pStyle w:val="ListParagraph"/>
        <w:numPr>
          <w:ilvl w:val="0"/>
          <w:numId w:val="128"/>
        </w:numPr>
        <w:tabs>
          <w:tab w:val="left" w:pos="1440"/>
          <w:tab w:val="left" w:pos="2160"/>
          <w:tab w:val="left" w:pos="2520"/>
        </w:tabs>
        <w:ind w:left="1440"/>
      </w:pPr>
      <w:r>
        <w:t>The name of the owner or operator of the affected source, the location of the source, the boiler that has switched fuels, and the date of the notice.</w:t>
      </w:r>
    </w:p>
    <w:p w14:paraId="59C57956" w14:textId="520BEA4D" w:rsidR="00462D5F" w:rsidRDefault="00462D5F" w:rsidP="00462D5F">
      <w:pPr>
        <w:pStyle w:val="ListParagraph"/>
        <w:numPr>
          <w:ilvl w:val="0"/>
          <w:numId w:val="128"/>
        </w:numPr>
        <w:tabs>
          <w:tab w:val="left" w:pos="1440"/>
          <w:tab w:val="left" w:pos="2160"/>
          <w:tab w:val="left" w:pos="2520"/>
        </w:tabs>
        <w:ind w:left="1440"/>
      </w:pPr>
      <w:r>
        <w:t>The date upon which the fuel switch occurred.</w:t>
      </w:r>
    </w:p>
    <w:p w14:paraId="5FFEC0EA" w14:textId="2321D569" w:rsidR="00462D5F" w:rsidRPr="00462D5F" w:rsidRDefault="00462D5F" w:rsidP="00462D5F">
      <w:pPr>
        <w:tabs>
          <w:tab w:val="left" w:pos="1440"/>
          <w:tab w:val="left" w:pos="2160"/>
          <w:tab w:val="left" w:pos="2520"/>
        </w:tabs>
        <w:ind w:left="1080"/>
      </w:pPr>
      <w:r>
        <w:t>[40 C.F.R.§ 63.11225(g)]</w:t>
      </w:r>
    </w:p>
    <w:p w14:paraId="5FCD153A" w14:textId="77777777" w:rsidR="004C1A78" w:rsidRDefault="004C1A78" w:rsidP="004C1A78">
      <w:pPr>
        <w:shd w:val="clear" w:color="auto" w:fill="FFFFFF" w:themeFill="background1"/>
        <w:tabs>
          <w:tab w:val="left" w:pos="1440"/>
        </w:tabs>
      </w:pPr>
    </w:p>
    <w:p w14:paraId="3D57A82E" w14:textId="085B285F" w:rsidR="00B41881" w:rsidRPr="00B41881" w:rsidRDefault="00B41881" w:rsidP="004C1A78">
      <w:pPr>
        <w:shd w:val="clear" w:color="auto" w:fill="FFFFFF" w:themeFill="background1"/>
        <w:tabs>
          <w:tab w:val="left" w:pos="1440"/>
        </w:tabs>
        <w:rPr>
          <w:b/>
          <w:bCs/>
        </w:rPr>
      </w:pPr>
      <w:r>
        <w:rPr>
          <w:b/>
          <w:bCs/>
        </w:rPr>
        <w:lastRenderedPageBreak/>
        <w:t>The following shall replace Specific Condition (25) of Air Emission License A-271-71-P-R/A:</w:t>
      </w:r>
    </w:p>
    <w:p w14:paraId="14F5E815" w14:textId="77777777" w:rsidR="00B41881" w:rsidRPr="00533F0C" w:rsidRDefault="00B41881" w:rsidP="004C1A78">
      <w:pPr>
        <w:shd w:val="clear" w:color="auto" w:fill="FFFFFF" w:themeFill="background1"/>
        <w:tabs>
          <w:tab w:val="left" w:pos="1440"/>
        </w:tabs>
      </w:pPr>
    </w:p>
    <w:p w14:paraId="67D31E92" w14:textId="77777777" w:rsidR="004C1A78" w:rsidRPr="004C1A78" w:rsidRDefault="007D2974" w:rsidP="00B41881">
      <w:pPr>
        <w:pStyle w:val="OrderCondition"/>
        <w:numPr>
          <w:ilvl w:val="0"/>
          <w:numId w:val="129"/>
        </w:numPr>
        <w:ind w:left="720" w:hanging="720"/>
      </w:pPr>
      <w:r>
        <w:t>Annual Emissions Statements</w:t>
      </w:r>
    </w:p>
    <w:p w14:paraId="2948BBB4" w14:textId="77777777" w:rsidR="007D2974" w:rsidRPr="006A5461" w:rsidRDefault="007D2974" w:rsidP="007D2974">
      <w:pPr>
        <w:pStyle w:val="Header"/>
        <w:tabs>
          <w:tab w:val="left" w:pos="1080"/>
          <w:tab w:val="left" w:pos="1530"/>
          <w:tab w:val="left" w:pos="1800"/>
        </w:tabs>
      </w:pPr>
    </w:p>
    <w:p w14:paraId="6655BB1C" w14:textId="3E5EEB93" w:rsidR="007D2974" w:rsidRPr="006A5461" w:rsidRDefault="007D2974" w:rsidP="007D2974">
      <w:pPr>
        <w:pStyle w:val="Header"/>
        <w:numPr>
          <w:ilvl w:val="0"/>
          <w:numId w:val="121"/>
        </w:numPr>
        <w:tabs>
          <w:tab w:val="clear" w:pos="4680"/>
          <w:tab w:val="clear" w:pos="9360"/>
        </w:tabs>
      </w:pPr>
      <w:r w:rsidRPr="006A5461">
        <w:t xml:space="preserve">In accordance with </w:t>
      </w:r>
      <w:r w:rsidRPr="006A5461">
        <w:rPr>
          <w:i/>
        </w:rPr>
        <w:t>Emission Statements</w:t>
      </w:r>
      <w:r w:rsidRPr="006A5461">
        <w:t xml:space="preserve">, 06-096 C.M.R. ch. 137, </w:t>
      </w:r>
      <w:r w:rsidR="00014D10">
        <w:t>BIW</w:t>
      </w:r>
      <w:r w:rsidRPr="006A5461">
        <w:rPr>
          <w:snapToGrid w:val="0"/>
        </w:rPr>
        <w:t xml:space="preserve"> </w:t>
      </w:r>
      <w:r w:rsidRPr="006A5461">
        <w:t xml:space="preserve">shall annually report to the Department, in a format prescribed by the Department, the information necessary to accurately update the State’s emission inventory. The emission statement shall be submitted as specified by the date in 06-096 C.M.R. ch. 137. </w:t>
      </w:r>
    </w:p>
    <w:p w14:paraId="01F80F65" w14:textId="77777777" w:rsidR="007D2974" w:rsidRPr="006A5461" w:rsidRDefault="007D2974" w:rsidP="007D2974"/>
    <w:p w14:paraId="24735096" w14:textId="2F7279D6" w:rsidR="007D2974" w:rsidRPr="006A5461" w:rsidRDefault="00014D10" w:rsidP="007D2974">
      <w:pPr>
        <w:pStyle w:val="Header"/>
        <w:numPr>
          <w:ilvl w:val="0"/>
          <w:numId w:val="121"/>
        </w:numPr>
        <w:tabs>
          <w:tab w:val="clear" w:pos="4680"/>
          <w:tab w:val="clear" w:pos="9360"/>
        </w:tabs>
      </w:pPr>
      <w:r>
        <w:rPr>
          <w:snapToGrid w:val="0"/>
        </w:rPr>
        <w:t>BIW</w:t>
      </w:r>
      <w:r w:rsidR="007D2974" w:rsidRPr="006A5461">
        <w:rPr>
          <w:snapToGrid w:val="0"/>
        </w:rPr>
        <w:t xml:space="preserve"> </w:t>
      </w:r>
      <w:r w:rsidR="007D2974" w:rsidRPr="006A5461">
        <w:t xml:space="preserve">shall keep the following records </w:t>
      </w:r>
      <w:proofErr w:type="gramStart"/>
      <w:r w:rsidR="007D2974" w:rsidRPr="006A5461">
        <w:t>in order t</w:t>
      </w:r>
      <w:r w:rsidR="007D2974">
        <w:t>o</w:t>
      </w:r>
      <w:proofErr w:type="gramEnd"/>
      <w:r w:rsidR="007D2974">
        <w:t xml:space="preserve"> comply with 06-096 C.M.R. ch. </w:t>
      </w:r>
      <w:r w:rsidR="007D2974" w:rsidRPr="006A5461">
        <w:t>137:</w:t>
      </w:r>
    </w:p>
    <w:p w14:paraId="76E75B7D" w14:textId="77777777" w:rsidR="007D2974" w:rsidRPr="006A5461" w:rsidRDefault="007D2974" w:rsidP="007D2974">
      <w:pPr>
        <w:tabs>
          <w:tab w:val="left" w:pos="720"/>
          <w:tab w:val="left" w:pos="1080"/>
        </w:tabs>
        <w:ind w:left="1080"/>
      </w:pPr>
    </w:p>
    <w:p w14:paraId="699DF2FC" w14:textId="77777777" w:rsidR="00C25BF9" w:rsidRPr="00DC7CF1" w:rsidRDefault="00C25BF9" w:rsidP="00C25BF9">
      <w:pPr>
        <w:pStyle w:val="ListParagraph"/>
        <w:numPr>
          <w:ilvl w:val="0"/>
          <w:numId w:val="120"/>
        </w:numPr>
        <w:tabs>
          <w:tab w:val="left" w:pos="720"/>
          <w:tab w:val="left" w:pos="1080"/>
        </w:tabs>
      </w:pPr>
      <w:r w:rsidRPr="00DC7CF1">
        <w:t xml:space="preserve">The amount of distillate fuel fired in </w:t>
      </w:r>
      <w:r>
        <w:t>Boiler #8 and SFAB Heat Treat Furnace</w:t>
      </w:r>
      <w:r w:rsidRPr="00DC7CF1">
        <w:t xml:space="preserve"> (each) on a monthly </w:t>
      </w:r>
      <w:proofErr w:type="gramStart"/>
      <w:r w:rsidRPr="00DC7CF1">
        <w:t>basis;</w:t>
      </w:r>
      <w:proofErr w:type="gramEnd"/>
    </w:p>
    <w:p w14:paraId="6B7F8B0E" w14:textId="77777777" w:rsidR="00C25BF9" w:rsidRPr="00DC7CF1" w:rsidRDefault="00C25BF9" w:rsidP="00C25BF9">
      <w:pPr>
        <w:pStyle w:val="ListParagraph"/>
        <w:numPr>
          <w:ilvl w:val="0"/>
          <w:numId w:val="120"/>
        </w:numPr>
        <w:tabs>
          <w:tab w:val="left" w:pos="720"/>
          <w:tab w:val="left" w:pos="1080"/>
        </w:tabs>
      </w:pPr>
      <w:r w:rsidRPr="00DC7CF1">
        <w:t xml:space="preserve">The sulfur content of the distillate fuel fired in </w:t>
      </w:r>
      <w:r>
        <w:t xml:space="preserve">Boiler #8 and SFAB Heat Treat </w:t>
      </w:r>
      <w:proofErr w:type="gramStart"/>
      <w:r>
        <w:t>Furnace</w:t>
      </w:r>
      <w:r w:rsidRPr="00DC7CF1">
        <w:t>;</w:t>
      </w:r>
      <w:proofErr w:type="gramEnd"/>
    </w:p>
    <w:p w14:paraId="17068C4D" w14:textId="77777777" w:rsidR="00C25BF9" w:rsidRPr="00DC7CF1" w:rsidRDefault="00C25BF9" w:rsidP="00C25BF9">
      <w:pPr>
        <w:pStyle w:val="ListParagraph"/>
        <w:numPr>
          <w:ilvl w:val="0"/>
          <w:numId w:val="120"/>
        </w:numPr>
        <w:tabs>
          <w:tab w:val="left" w:pos="720"/>
          <w:tab w:val="left" w:pos="1080"/>
        </w:tabs>
      </w:pPr>
      <w:r>
        <w:t>The amount of natural gas fired in Boilers #3, #7, and #8, Steam Boiler #1, AH-1, AH</w:t>
      </w:r>
      <w:r>
        <w:noBreakHyphen/>
        <w:t>2, the Door Shop and Quonset Hut Furnaces, the SFAB Preheat Ovens #1 and #2, the SFAB Drying Oven, the PC Cure Oven, the PC Batch Oven, and the OFAB Makeup Air Units #1 and #2 (each) on a monthly basis;</w:t>
      </w:r>
    </w:p>
    <w:p w14:paraId="71413552" w14:textId="49B26FEC" w:rsidR="00C25BF9" w:rsidRPr="008C6D4C" w:rsidRDefault="00C25BF9" w:rsidP="00C25BF9">
      <w:pPr>
        <w:pStyle w:val="ListParagraph"/>
        <w:numPr>
          <w:ilvl w:val="0"/>
          <w:numId w:val="120"/>
        </w:numPr>
        <w:tabs>
          <w:tab w:val="left" w:pos="720"/>
          <w:tab w:val="left" w:pos="1080"/>
        </w:tabs>
      </w:pPr>
      <w:r w:rsidRPr="00DC7CF1">
        <w:t>Calculations of the VOC and/or HAP emissions from the</w:t>
      </w:r>
      <w:r w:rsidRPr="007863A6">
        <w:rPr>
          <w:bCs/>
          <w:iCs/>
        </w:rPr>
        <w:t xml:space="preserve"> VOC/HAP emitting process, including paint booths, welding, machining, blasting, solvents/thinners, e</w:t>
      </w:r>
      <w:r w:rsidR="00B41881">
        <w:rPr>
          <w:bCs/>
          <w:iCs/>
        </w:rPr>
        <w:t>t</w:t>
      </w:r>
      <w:r w:rsidRPr="007863A6">
        <w:rPr>
          <w:bCs/>
          <w:iCs/>
        </w:rPr>
        <w:t xml:space="preserve">c. </w:t>
      </w:r>
      <w:r w:rsidRPr="00DC7CF1">
        <w:t>on a calendar</w:t>
      </w:r>
      <w:r>
        <w:t xml:space="preserve"> year total basis</w:t>
      </w:r>
      <w:r w:rsidRPr="008C6D4C">
        <w:t>; and</w:t>
      </w:r>
    </w:p>
    <w:p w14:paraId="43CC65F8" w14:textId="24264B1D" w:rsidR="007D2974" w:rsidRDefault="00C25BF9" w:rsidP="00C25BF9">
      <w:pPr>
        <w:numPr>
          <w:ilvl w:val="0"/>
          <w:numId w:val="120"/>
        </w:numPr>
        <w:contextualSpacing/>
      </w:pPr>
      <w:r>
        <w:t xml:space="preserve">Hours each emission unit was </w:t>
      </w:r>
      <w:r w:rsidRPr="007863A6">
        <w:t>active or</w:t>
      </w:r>
      <w:r>
        <w:t xml:space="preserve"> </w:t>
      </w:r>
      <w:proofErr w:type="gramStart"/>
      <w:r>
        <w:t>operating</w:t>
      </w:r>
      <w:proofErr w:type="gramEnd"/>
      <w:r>
        <w:t xml:space="preserve"> </w:t>
      </w:r>
      <w:proofErr w:type="gramStart"/>
      <w:r>
        <w:t>on a monthly basis</w:t>
      </w:r>
      <w:proofErr w:type="gramEnd"/>
      <w:r w:rsidR="007D2974">
        <w:t>.</w:t>
      </w:r>
    </w:p>
    <w:p w14:paraId="1370A0C8" w14:textId="77777777" w:rsidR="007D2974" w:rsidRPr="006A5461" w:rsidRDefault="007D2974" w:rsidP="007D2974">
      <w:pPr>
        <w:tabs>
          <w:tab w:val="left" w:pos="720"/>
          <w:tab w:val="left" w:pos="1080"/>
        </w:tabs>
        <w:ind w:left="1080"/>
      </w:pPr>
      <w:r w:rsidRPr="006A5461">
        <w:t xml:space="preserve"> [06-096 C.M.R. ch. 137]</w:t>
      </w:r>
    </w:p>
    <w:p w14:paraId="62D4C948" w14:textId="77777777" w:rsidR="007D2974" w:rsidRPr="006A5461" w:rsidRDefault="007D2974" w:rsidP="007D2974">
      <w:pPr>
        <w:ind w:left="720"/>
      </w:pPr>
      <w:r w:rsidRPr="006A5461">
        <w:tab/>
      </w:r>
    </w:p>
    <w:p w14:paraId="542D32C9" w14:textId="77777777" w:rsidR="004D0CB0" w:rsidRDefault="004D0CB0">
      <w:pPr>
        <w:jc w:val="left"/>
      </w:pPr>
      <w:r>
        <w:br w:type="page"/>
      </w:r>
    </w:p>
    <w:p w14:paraId="183ACAF1" w14:textId="5E53E962" w:rsidR="007D2974" w:rsidRDefault="007D2974" w:rsidP="007D2974">
      <w:pPr>
        <w:pStyle w:val="Header"/>
        <w:numPr>
          <w:ilvl w:val="0"/>
          <w:numId w:val="121"/>
        </w:numPr>
        <w:tabs>
          <w:tab w:val="clear" w:pos="4680"/>
          <w:tab w:val="clear" w:pos="9360"/>
        </w:tabs>
      </w:pPr>
      <w:r w:rsidRPr="0035165A">
        <w:lastRenderedPageBreak/>
        <w:t xml:space="preserve">Every third year, or as requested by the Department, </w:t>
      </w:r>
      <w:r w:rsidR="00014D10">
        <w:t>BIW</w:t>
      </w:r>
      <w:r w:rsidRPr="0035165A">
        <w:t xml:space="preserve"> shall report to the Department emissions of hazardous air pollutants as required </w:t>
      </w:r>
      <w:r>
        <w:t>pursuant to</w:t>
      </w:r>
      <w:r w:rsidRPr="0035165A">
        <w:t xml:space="preserve"> 06</w:t>
      </w:r>
      <w:r>
        <w:noBreakHyphen/>
      </w:r>
      <w:r w:rsidRPr="0035165A">
        <w:t>096</w:t>
      </w:r>
      <w:r>
        <w:t> </w:t>
      </w:r>
      <w:r w:rsidRPr="0035165A">
        <w:t>C.M.R. ch. 137, §</w:t>
      </w:r>
      <w:r w:rsidR="00014D10">
        <w:t> </w:t>
      </w:r>
      <w:r w:rsidRPr="0035165A">
        <w:t>(3)(C). The next report is due no later than May 15, 202</w:t>
      </w:r>
      <w:r>
        <w:t>7</w:t>
      </w:r>
      <w:r w:rsidRPr="0035165A">
        <w:t>, for emissions occurring in calendar year 202</w:t>
      </w:r>
      <w:r>
        <w:t>6</w:t>
      </w:r>
      <w:r w:rsidRPr="006A5461">
        <w:t xml:space="preserve">. </w:t>
      </w:r>
      <w:r w:rsidR="00014D10">
        <w:t>BIW</w:t>
      </w:r>
      <w:r w:rsidRPr="006A5461">
        <w:t xml:space="preserve"> shall pay the annual air quality surcharge, calculated by the Department based on these reported emissions of hazardous air pollutants, by the date required in Title 38 M.R.S. § 353-</w:t>
      </w:r>
      <w:proofErr w:type="gramStart"/>
      <w:r w:rsidRPr="006A5461">
        <w:t>A(</w:t>
      </w:r>
      <w:proofErr w:type="gramEnd"/>
      <w:r w:rsidRPr="006A5461">
        <w:t xml:space="preserve">3). </w:t>
      </w:r>
    </w:p>
    <w:p w14:paraId="228835BA" w14:textId="77777777" w:rsidR="007D2974" w:rsidRPr="006A5461" w:rsidRDefault="007D2974" w:rsidP="007D2974">
      <w:pPr>
        <w:pStyle w:val="Header"/>
        <w:ind w:left="1080"/>
      </w:pPr>
      <w:r w:rsidRPr="006A5461">
        <w:t>[38 M.R.S. § 353-A(1-A)]</w:t>
      </w:r>
    </w:p>
    <w:p w14:paraId="229CB222" w14:textId="4D63CAB0" w:rsidR="004C1A78" w:rsidRPr="004C1A78" w:rsidRDefault="004C1A78" w:rsidP="006E35A9">
      <w:pPr>
        <w:jc w:val="left"/>
      </w:pPr>
    </w:p>
    <w:p w14:paraId="706A8F27" w14:textId="5C77D0EA" w:rsidR="007D2974" w:rsidRDefault="007D2974" w:rsidP="007D2974"/>
    <w:p w14:paraId="4302ABFA" w14:textId="00DDB0FC" w:rsidR="007D2974" w:rsidRDefault="008D4AED" w:rsidP="007D2974">
      <w:r>
        <w:rPr>
          <w:noProof/>
          <w:sz w:val="20"/>
          <w:szCs w:val="20"/>
          <w:u w:val="single"/>
        </w:rPr>
        <w:drawing>
          <wp:anchor distT="0" distB="0" distL="114300" distR="114300" simplePos="0" relativeHeight="251658240" behindDoc="1" locked="0" layoutInCell="1" allowOverlap="1" wp14:anchorId="1CC7271C" wp14:editId="109D862F">
            <wp:simplePos x="0" y="0"/>
            <wp:positionH relativeFrom="column">
              <wp:posOffset>228600</wp:posOffset>
            </wp:positionH>
            <wp:positionV relativeFrom="paragraph">
              <wp:posOffset>13970</wp:posOffset>
            </wp:positionV>
            <wp:extent cx="3543300" cy="1781175"/>
            <wp:effectExtent l="0" t="0" r="0" b="9525"/>
            <wp:wrapNone/>
            <wp:docPr id="368223600"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3600"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7D2974" w:rsidRPr="007D2974">
        <w:rPr>
          <w:sz w:val="20"/>
          <w:szCs w:val="20"/>
        </w:rPr>
        <w:t xml:space="preserve">DONE AND DATED IN AUGUSTA, MAINE THIS </w:t>
      </w:r>
      <w:r>
        <w:rPr>
          <w:sz w:val="28"/>
          <w:szCs w:val="28"/>
        </w:rPr>
        <w:t>8</w:t>
      </w:r>
      <w:r w:rsidRPr="008D4AED">
        <w:rPr>
          <w:sz w:val="28"/>
          <w:szCs w:val="28"/>
          <w:vertAlign w:val="superscript"/>
        </w:rPr>
        <w:t>th</w:t>
      </w:r>
      <w:r w:rsidR="007D2974">
        <w:t xml:space="preserve"> </w:t>
      </w:r>
      <w:r w:rsidR="007D2974" w:rsidRPr="007D2974">
        <w:rPr>
          <w:sz w:val="20"/>
          <w:szCs w:val="20"/>
        </w:rPr>
        <w:t xml:space="preserve">DAY OF </w:t>
      </w:r>
      <w:proofErr w:type="gramStart"/>
      <w:r>
        <w:rPr>
          <w:sz w:val="28"/>
          <w:szCs w:val="28"/>
        </w:rPr>
        <w:t>APRIL</w:t>
      </w:r>
      <w:r w:rsidR="007D2974" w:rsidRPr="007D44AB">
        <w:rPr>
          <w:sz w:val="28"/>
          <w:szCs w:val="28"/>
        </w:rPr>
        <w:t>,</w:t>
      </w:r>
      <w:proofErr w:type="gramEnd"/>
      <w:r w:rsidR="007D2974">
        <w:rPr>
          <w:sz w:val="28"/>
          <w:szCs w:val="28"/>
        </w:rPr>
        <w:t xml:space="preserve"> </w:t>
      </w:r>
      <w:r w:rsidR="00C25BF9">
        <w:rPr>
          <w:sz w:val="28"/>
          <w:szCs w:val="28"/>
        </w:rPr>
        <w:t>2026</w:t>
      </w:r>
      <w:r w:rsidR="007D2974">
        <w:t>.</w:t>
      </w:r>
    </w:p>
    <w:p w14:paraId="588C635F" w14:textId="77777777" w:rsidR="007D2974" w:rsidRDefault="007D2974" w:rsidP="007D2974"/>
    <w:p w14:paraId="1CCD0D47" w14:textId="77777777" w:rsidR="007D2974" w:rsidRPr="007D2974" w:rsidRDefault="007D2974" w:rsidP="007D2974">
      <w:pPr>
        <w:rPr>
          <w:sz w:val="20"/>
          <w:szCs w:val="20"/>
        </w:rPr>
      </w:pPr>
      <w:r w:rsidRPr="007D2974">
        <w:rPr>
          <w:sz w:val="20"/>
          <w:szCs w:val="20"/>
        </w:rPr>
        <w:t>DEPARTMENT OF ENVIRONMENTAL PROTECTION</w:t>
      </w:r>
    </w:p>
    <w:p w14:paraId="01832780" w14:textId="75609C31" w:rsidR="007D2974" w:rsidRPr="007D2974" w:rsidRDefault="007D2974" w:rsidP="007D2974">
      <w:pPr>
        <w:rPr>
          <w:sz w:val="20"/>
          <w:szCs w:val="20"/>
        </w:rPr>
      </w:pPr>
    </w:p>
    <w:p w14:paraId="1F8F10A6" w14:textId="2A3DB55F" w:rsidR="007D2974" w:rsidRPr="007D2974" w:rsidRDefault="007D2974" w:rsidP="007D2974">
      <w:pPr>
        <w:rPr>
          <w:sz w:val="20"/>
          <w:szCs w:val="20"/>
        </w:rPr>
      </w:pPr>
    </w:p>
    <w:p w14:paraId="4E7E7E28" w14:textId="02D28ED5"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65BA9F4E"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437E6288" w14:textId="77777777" w:rsidR="007D2974" w:rsidRDefault="007D2974" w:rsidP="007D2974"/>
    <w:p w14:paraId="1564F001" w14:textId="04FED45B" w:rsidR="007D2974" w:rsidRPr="007D2974" w:rsidRDefault="007D2974" w:rsidP="007D2974">
      <w:pPr>
        <w:pStyle w:val="BodyText3"/>
        <w:rPr>
          <w:b/>
          <w:bCs/>
          <w:sz w:val="24"/>
          <w:szCs w:val="24"/>
        </w:rPr>
      </w:pPr>
      <w:r w:rsidRPr="007D2974">
        <w:rPr>
          <w:b/>
          <w:bCs/>
          <w:sz w:val="24"/>
          <w:szCs w:val="24"/>
        </w:rPr>
        <w:t>The term of this license amendment shall be ten (10) years from the issuance of Air Emission License A-</w:t>
      </w:r>
      <w:r w:rsidR="00014D10">
        <w:rPr>
          <w:b/>
          <w:bCs/>
          <w:sz w:val="24"/>
          <w:szCs w:val="24"/>
        </w:rPr>
        <w:t>271</w:t>
      </w:r>
      <w:r w:rsidRPr="007D2974">
        <w:rPr>
          <w:b/>
          <w:bCs/>
          <w:sz w:val="24"/>
          <w:szCs w:val="24"/>
        </w:rPr>
        <w:t>-71-</w:t>
      </w:r>
      <w:r w:rsidR="00014D10">
        <w:rPr>
          <w:b/>
          <w:bCs/>
          <w:sz w:val="24"/>
          <w:szCs w:val="24"/>
        </w:rPr>
        <w:t>P</w:t>
      </w:r>
      <w:r w:rsidRPr="007D2974">
        <w:rPr>
          <w:b/>
          <w:bCs/>
          <w:sz w:val="24"/>
          <w:szCs w:val="24"/>
        </w:rPr>
        <w:t>-R</w:t>
      </w:r>
      <w:r w:rsidR="00014D10">
        <w:rPr>
          <w:b/>
          <w:bCs/>
          <w:sz w:val="24"/>
          <w:szCs w:val="24"/>
        </w:rPr>
        <w:t>/A</w:t>
      </w:r>
      <w:r w:rsidRPr="007D2974">
        <w:rPr>
          <w:b/>
          <w:bCs/>
          <w:sz w:val="24"/>
          <w:szCs w:val="24"/>
        </w:rPr>
        <w:t xml:space="preserve"> (issued </w:t>
      </w:r>
      <w:r w:rsidR="00014D10">
        <w:rPr>
          <w:b/>
          <w:bCs/>
          <w:sz w:val="24"/>
          <w:szCs w:val="24"/>
        </w:rPr>
        <w:t>03</w:t>
      </w:r>
      <w:r w:rsidRPr="007D2974">
        <w:rPr>
          <w:b/>
          <w:bCs/>
          <w:sz w:val="24"/>
          <w:szCs w:val="24"/>
        </w:rPr>
        <w:t>/</w:t>
      </w:r>
      <w:r w:rsidR="00014D10">
        <w:rPr>
          <w:b/>
          <w:bCs/>
          <w:sz w:val="24"/>
          <w:szCs w:val="24"/>
        </w:rPr>
        <w:t>13</w:t>
      </w:r>
      <w:r w:rsidRPr="007D2974">
        <w:rPr>
          <w:b/>
          <w:bCs/>
          <w:sz w:val="24"/>
          <w:szCs w:val="24"/>
        </w:rPr>
        <w:t>/</w:t>
      </w:r>
      <w:r w:rsidR="00014D10">
        <w:rPr>
          <w:b/>
          <w:bCs/>
          <w:sz w:val="24"/>
          <w:szCs w:val="24"/>
        </w:rPr>
        <w:t>2023</w:t>
      </w:r>
      <w:r w:rsidRPr="007D2974">
        <w:rPr>
          <w:b/>
          <w:bCs/>
          <w:sz w:val="24"/>
          <w:szCs w:val="24"/>
        </w:rPr>
        <w:t>).</w:t>
      </w:r>
    </w:p>
    <w:p w14:paraId="1094C00C" w14:textId="77777777" w:rsidR="007D2974" w:rsidRPr="007D2974" w:rsidRDefault="007D2974" w:rsidP="007D2974">
      <w:pPr>
        <w:pStyle w:val="BodyText3"/>
        <w:rPr>
          <w:sz w:val="24"/>
          <w:szCs w:val="24"/>
        </w:rPr>
      </w:pPr>
    </w:p>
    <w:p w14:paraId="35984947" w14:textId="77777777" w:rsidR="007D2974" w:rsidRPr="007D2974" w:rsidRDefault="007D2974" w:rsidP="007D2974">
      <w:pPr>
        <w:tabs>
          <w:tab w:val="left" w:pos="0"/>
        </w:tabs>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2E3FF61F" w14:textId="77777777" w:rsidR="007D2974" w:rsidRDefault="007D2974" w:rsidP="007D2974">
      <w:pPr>
        <w:jc w:val="center"/>
        <w:rPr>
          <w:sz w:val="22"/>
        </w:rPr>
      </w:pPr>
    </w:p>
    <w:p w14:paraId="66D1C81E" w14:textId="77777777" w:rsidR="007D2974" w:rsidRDefault="007D2974" w:rsidP="007D2974">
      <w:pPr>
        <w:jc w:val="center"/>
      </w:pPr>
      <w:r>
        <w:rPr>
          <w:sz w:val="22"/>
        </w:rPr>
        <w:t>PLEASE NOTE ATTACHED SHEET FOR GUIDANCE ON APPEAL PROCEDURES</w:t>
      </w:r>
    </w:p>
    <w:p w14:paraId="18F72455" w14:textId="77777777" w:rsidR="007D2974" w:rsidRDefault="007D2974" w:rsidP="007D2974"/>
    <w:p w14:paraId="5C3986E7" w14:textId="02495D2B" w:rsidR="007D2974" w:rsidRDefault="007D2974" w:rsidP="007D2974">
      <w:pPr>
        <w:rPr>
          <w:u w:val="single"/>
        </w:rPr>
      </w:pPr>
      <w:r>
        <w:t>Date of initial receipt of application</w:t>
      </w:r>
      <w:proofErr w:type="gramStart"/>
      <w:r>
        <w:t>:</w:t>
      </w:r>
      <w:r>
        <w:rPr>
          <w:u w:val="single"/>
        </w:rPr>
        <w:tab/>
      </w:r>
      <w:r>
        <w:rPr>
          <w:u w:val="single"/>
        </w:rPr>
        <w:tab/>
      </w:r>
      <w:r w:rsidR="00014D10">
        <w:rPr>
          <w:u w:val="single"/>
        </w:rPr>
        <w:t>March</w:t>
      </w:r>
      <w:proofErr w:type="gramEnd"/>
      <w:r w:rsidR="00014D10">
        <w:rPr>
          <w:u w:val="single"/>
        </w:rPr>
        <w:t xml:space="preserve"> 16, 2026</w:t>
      </w:r>
    </w:p>
    <w:p w14:paraId="25F92456" w14:textId="5B59EC31" w:rsidR="007D2974" w:rsidRDefault="007D2974" w:rsidP="007D2974">
      <w:pPr>
        <w:rPr>
          <w:u w:val="single"/>
        </w:rPr>
      </w:pPr>
      <w:r>
        <w:t>Date of application acceptance</w:t>
      </w:r>
      <w:proofErr w:type="gramStart"/>
      <w:r>
        <w:t>:</w:t>
      </w:r>
      <w:r>
        <w:rPr>
          <w:u w:val="single"/>
        </w:rPr>
        <w:tab/>
      </w:r>
      <w:r>
        <w:rPr>
          <w:u w:val="single"/>
        </w:rPr>
        <w:tab/>
      </w:r>
      <w:r w:rsidR="00014D10">
        <w:rPr>
          <w:u w:val="single"/>
        </w:rPr>
        <w:t>March</w:t>
      </w:r>
      <w:proofErr w:type="gramEnd"/>
      <w:r w:rsidR="00014D10">
        <w:rPr>
          <w:u w:val="single"/>
        </w:rPr>
        <w:t xml:space="preserve"> 16, 2026</w:t>
      </w:r>
    </w:p>
    <w:p w14:paraId="61F3B79B" w14:textId="77777777" w:rsidR="007D2974" w:rsidRDefault="007D2974" w:rsidP="007D2974"/>
    <w:p w14:paraId="5DD79045" w14:textId="52FCF451" w:rsidR="007D2974" w:rsidRPr="007D2974" w:rsidRDefault="007D2974" w:rsidP="007D2974">
      <w:pPr>
        <w:rPr>
          <w:sz w:val="20"/>
          <w:szCs w:val="20"/>
        </w:rPr>
      </w:pPr>
      <w:r w:rsidRPr="007D2974">
        <w:rPr>
          <w:sz w:val="20"/>
          <w:szCs w:val="20"/>
        </w:rPr>
        <w:t xml:space="preserve">This Order prepared by </w:t>
      </w:r>
      <w:r w:rsidR="00F71356">
        <w:rPr>
          <w:sz w:val="20"/>
          <w:szCs w:val="20"/>
        </w:rPr>
        <w:t>Zac Hicks</w:t>
      </w:r>
      <w:r w:rsidRPr="007D2974">
        <w:rPr>
          <w:sz w:val="20"/>
          <w:szCs w:val="20"/>
        </w:rPr>
        <w:t>, Bureau of Air Quality.</w:t>
      </w:r>
    </w:p>
    <w:p w14:paraId="31C6948A" w14:textId="77777777" w:rsidR="004C1A78" w:rsidRPr="004C1A78" w:rsidRDefault="004C1A78" w:rsidP="006E35A9">
      <w:pPr>
        <w:jc w:val="left"/>
      </w:pPr>
    </w:p>
    <w:sectPr w:rsidR="004C1A78" w:rsidRPr="004C1A78" w:rsidSect="005F5B6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9624" w14:textId="77777777" w:rsidR="005227E2" w:rsidRDefault="005227E2" w:rsidP="005F5B62">
      <w:r>
        <w:separator/>
      </w:r>
    </w:p>
  </w:endnote>
  <w:endnote w:type="continuationSeparator" w:id="0">
    <w:p w14:paraId="069870FB" w14:textId="77777777" w:rsidR="005227E2" w:rsidRDefault="005227E2"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388E" w14:textId="77777777" w:rsidR="005227E2" w:rsidRDefault="005227E2" w:rsidP="005F5B62">
      <w:r>
        <w:separator/>
      </w:r>
    </w:p>
  </w:footnote>
  <w:footnote w:type="continuationSeparator" w:id="0">
    <w:p w14:paraId="2963CE82" w14:textId="77777777" w:rsidR="005227E2" w:rsidRDefault="005227E2"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13E77A73" w14:textId="77777777" w:rsidTr="00D42750">
      <w:tc>
        <w:tcPr>
          <w:tcW w:w="4050" w:type="dxa"/>
        </w:tcPr>
        <w:p w14:paraId="33B7799A" w14:textId="29737B9D" w:rsidR="005F5B62" w:rsidRDefault="006F04A6" w:rsidP="005F5B62">
          <w:pPr>
            <w:rPr>
              <w:b/>
            </w:rPr>
          </w:pPr>
          <w:r>
            <w:rPr>
              <w:b/>
            </w:rPr>
            <w:t>Bath Iron Works Corporation</w:t>
          </w:r>
        </w:p>
      </w:tc>
      <w:tc>
        <w:tcPr>
          <w:tcW w:w="720" w:type="dxa"/>
          <w:tcBorders>
            <w:right w:val="single" w:sz="4" w:space="0" w:color="auto"/>
          </w:tcBorders>
        </w:tcPr>
        <w:p w14:paraId="20C0E615" w14:textId="77777777" w:rsidR="005F5B62" w:rsidRDefault="005F5B62" w:rsidP="005F5B62">
          <w:pPr>
            <w:jc w:val="center"/>
            <w:rPr>
              <w:b/>
            </w:rPr>
          </w:pPr>
        </w:p>
      </w:tc>
      <w:tc>
        <w:tcPr>
          <w:tcW w:w="720" w:type="dxa"/>
          <w:gridSpan w:val="2"/>
          <w:tcBorders>
            <w:left w:val="nil"/>
          </w:tcBorders>
        </w:tcPr>
        <w:p w14:paraId="23478501" w14:textId="77777777" w:rsidR="005F5B62" w:rsidRDefault="005F5B62" w:rsidP="005F5B62">
          <w:pPr>
            <w:jc w:val="center"/>
            <w:rPr>
              <w:b/>
            </w:rPr>
          </w:pPr>
        </w:p>
      </w:tc>
      <w:tc>
        <w:tcPr>
          <w:tcW w:w="3960" w:type="dxa"/>
        </w:tcPr>
        <w:p w14:paraId="09C634E2" w14:textId="77777777" w:rsidR="005F5B62" w:rsidRDefault="005F5B62" w:rsidP="005F5B62">
          <w:pPr>
            <w:jc w:val="center"/>
            <w:rPr>
              <w:b/>
            </w:rPr>
          </w:pPr>
          <w:r>
            <w:rPr>
              <w:b/>
            </w:rPr>
            <w:t>Departmental</w:t>
          </w:r>
        </w:p>
      </w:tc>
    </w:tr>
    <w:tr w:rsidR="005F5B62" w14:paraId="258E5BD0" w14:textId="77777777" w:rsidTr="00D42750">
      <w:tc>
        <w:tcPr>
          <w:tcW w:w="4050" w:type="dxa"/>
        </w:tcPr>
        <w:p w14:paraId="32515808" w14:textId="505F677A" w:rsidR="005F5B62" w:rsidRDefault="006F04A6" w:rsidP="005F5B62">
          <w:pPr>
            <w:rPr>
              <w:b/>
            </w:rPr>
          </w:pPr>
          <w:r>
            <w:rPr>
              <w:b/>
            </w:rPr>
            <w:t>Cumberland</w:t>
          </w:r>
          <w:r w:rsidR="005F5B62">
            <w:rPr>
              <w:b/>
            </w:rPr>
            <w:t xml:space="preserve"> County</w:t>
          </w:r>
        </w:p>
      </w:tc>
      <w:tc>
        <w:tcPr>
          <w:tcW w:w="720" w:type="dxa"/>
          <w:tcBorders>
            <w:right w:val="single" w:sz="4" w:space="0" w:color="auto"/>
          </w:tcBorders>
        </w:tcPr>
        <w:p w14:paraId="75AB04F8" w14:textId="77777777" w:rsidR="005F5B62" w:rsidRDefault="005F5B62" w:rsidP="005F5B62">
          <w:pPr>
            <w:jc w:val="center"/>
            <w:rPr>
              <w:b/>
            </w:rPr>
          </w:pPr>
        </w:p>
      </w:tc>
      <w:tc>
        <w:tcPr>
          <w:tcW w:w="720" w:type="dxa"/>
          <w:gridSpan w:val="2"/>
          <w:tcBorders>
            <w:left w:val="nil"/>
          </w:tcBorders>
        </w:tcPr>
        <w:p w14:paraId="3CEA84AC" w14:textId="77777777" w:rsidR="005F5B62" w:rsidRDefault="005F5B62" w:rsidP="005F5B62">
          <w:pPr>
            <w:jc w:val="center"/>
            <w:rPr>
              <w:b/>
            </w:rPr>
          </w:pPr>
        </w:p>
      </w:tc>
      <w:tc>
        <w:tcPr>
          <w:tcW w:w="3960" w:type="dxa"/>
        </w:tcPr>
        <w:p w14:paraId="0BF08797" w14:textId="77777777" w:rsidR="005F5B62" w:rsidRDefault="005F5B62" w:rsidP="005F5B62">
          <w:pPr>
            <w:jc w:val="center"/>
            <w:rPr>
              <w:b/>
            </w:rPr>
          </w:pPr>
          <w:r>
            <w:rPr>
              <w:b/>
            </w:rPr>
            <w:t>Findings of Fact and Order</w:t>
          </w:r>
        </w:p>
      </w:tc>
    </w:tr>
    <w:tr w:rsidR="005F5B62" w14:paraId="462F39F7" w14:textId="77777777" w:rsidTr="00D42750">
      <w:tc>
        <w:tcPr>
          <w:tcW w:w="4050" w:type="dxa"/>
        </w:tcPr>
        <w:p w14:paraId="6164F7A1" w14:textId="289F1AEF" w:rsidR="005F5B62" w:rsidRDefault="006F04A6" w:rsidP="005F5B62">
          <w:pPr>
            <w:rPr>
              <w:b/>
            </w:rPr>
          </w:pPr>
          <w:r>
            <w:rPr>
              <w:b/>
            </w:rPr>
            <w:t>Brunswick</w:t>
          </w:r>
          <w:r w:rsidR="005F5B62">
            <w:rPr>
              <w:b/>
            </w:rPr>
            <w:t>, Maine</w:t>
          </w:r>
        </w:p>
      </w:tc>
      <w:tc>
        <w:tcPr>
          <w:tcW w:w="720" w:type="dxa"/>
          <w:tcBorders>
            <w:right w:val="single" w:sz="4" w:space="0" w:color="auto"/>
          </w:tcBorders>
        </w:tcPr>
        <w:p w14:paraId="797CB6BF" w14:textId="77777777" w:rsidR="005F5B62" w:rsidRDefault="005F5B62" w:rsidP="005F5B62">
          <w:pPr>
            <w:jc w:val="center"/>
            <w:rPr>
              <w:b/>
            </w:rPr>
          </w:pPr>
        </w:p>
      </w:tc>
      <w:tc>
        <w:tcPr>
          <w:tcW w:w="720" w:type="dxa"/>
          <w:gridSpan w:val="2"/>
          <w:tcBorders>
            <w:left w:val="nil"/>
          </w:tcBorders>
        </w:tcPr>
        <w:p w14:paraId="407BC6BB" w14:textId="77777777" w:rsidR="005F5B62" w:rsidRDefault="005F5B62" w:rsidP="005F5B62">
          <w:pPr>
            <w:jc w:val="center"/>
            <w:rPr>
              <w:b/>
            </w:rPr>
          </w:pPr>
        </w:p>
      </w:tc>
      <w:tc>
        <w:tcPr>
          <w:tcW w:w="3960" w:type="dxa"/>
        </w:tcPr>
        <w:p w14:paraId="6783CBD3" w14:textId="77777777" w:rsidR="005F5B62" w:rsidRDefault="005F5B62" w:rsidP="005F5B62">
          <w:pPr>
            <w:jc w:val="center"/>
            <w:rPr>
              <w:b/>
            </w:rPr>
          </w:pPr>
          <w:r>
            <w:rPr>
              <w:b/>
            </w:rPr>
            <w:t>Air Emission License</w:t>
          </w:r>
        </w:p>
      </w:tc>
    </w:tr>
    <w:tr w:rsidR="005F5B62" w14:paraId="7DA898A5" w14:textId="77777777" w:rsidTr="00D42750">
      <w:tc>
        <w:tcPr>
          <w:tcW w:w="4050" w:type="dxa"/>
        </w:tcPr>
        <w:p w14:paraId="1CCF8A2E" w14:textId="130126EA" w:rsidR="005F5B62" w:rsidRDefault="005F5B62" w:rsidP="005F5B62">
          <w:pPr>
            <w:rPr>
              <w:b/>
            </w:rPr>
          </w:pPr>
          <w:r>
            <w:rPr>
              <w:b/>
            </w:rPr>
            <w:t>A-</w:t>
          </w:r>
          <w:r w:rsidR="006F04A6">
            <w:rPr>
              <w:b/>
            </w:rPr>
            <w:t>271</w:t>
          </w:r>
          <w:r>
            <w:rPr>
              <w:b/>
            </w:rPr>
            <w:t>-71-</w:t>
          </w:r>
          <w:r w:rsidR="006F04A6">
            <w:rPr>
              <w:b/>
            </w:rPr>
            <w:t>S</w:t>
          </w:r>
          <w:r>
            <w:rPr>
              <w:b/>
            </w:rPr>
            <w:t>-</w:t>
          </w:r>
          <w:r w:rsidR="006F04A6">
            <w:rPr>
              <w:b/>
            </w:rPr>
            <w:t>A</w:t>
          </w:r>
        </w:p>
      </w:tc>
      <w:tc>
        <w:tcPr>
          <w:tcW w:w="900" w:type="dxa"/>
          <w:gridSpan w:val="2"/>
        </w:tcPr>
        <w:p w14:paraId="60F4CB32"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2A2417C1" w14:textId="77777777" w:rsidR="005F5B62" w:rsidRDefault="005F5B62" w:rsidP="005F5B62">
          <w:pPr>
            <w:jc w:val="center"/>
            <w:rPr>
              <w:b/>
            </w:rPr>
          </w:pPr>
        </w:p>
      </w:tc>
      <w:tc>
        <w:tcPr>
          <w:tcW w:w="3960" w:type="dxa"/>
        </w:tcPr>
        <w:p w14:paraId="0EA57C92" w14:textId="60281743" w:rsidR="005F5B62" w:rsidRPr="006F04A6" w:rsidRDefault="005F5B62" w:rsidP="006F04A6">
          <w:pPr>
            <w:jc w:val="center"/>
            <w:rPr>
              <w:b/>
              <w:iCs/>
            </w:rPr>
          </w:pPr>
          <w:r w:rsidRPr="006F04A6">
            <w:rPr>
              <w:b/>
              <w:iCs/>
            </w:rPr>
            <w:t>Amendment #</w:t>
          </w:r>
          <w:r w:rsidR="006F04A6" w:rsidRPr="006F04A6">
            <w:rPr>
              <w:b/>
              <w:iCs/>
            </w:rPr>
            <w:t>3</w:t>
          </w:r>
        </w:p>
      </w:tc>
    </w:tr>
  </w:tbl>
  <w:p w14:paraId="47F4E734"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E3B"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0AD0CCBC">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0439" name="Picture 409020439"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1367FC71"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174C2A09"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5FF54A79"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6036EE6E" w14:textId="77777777" w:rsidR="005F5B62" w:rsidRDefault="005F5B62" w:rsidP="005F5B62">
    <w:pPr>
      <w:pStyle w:val="Header"/>
      <w:jc w:val="center"/>
      <w:rPr>
        <w:rFonts w:ascii="Arial" w:hAnsi="Arial" w:cs="Arial"/>
        <w:color w:val="0000FF"/>
      </w:rPr>
    </w:pPr>
  </w:p>
  <w:p w14:paraId="3665D012"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7AEC21C5" w14:textId="77777777" w:rsidR="005F5B62" w:rsidRDefault="005F5B62" w:rsidP="005F5B62">
    <w:pPr>
      <w:pStyle w:val="Header"/>
    </w:pPr>
  </w:p>
  <w:p w14:paraId="4FD87D99"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396D5794" w14:textId="77777777" w:rsidTr="00D42750">
      <w:tc>
        <w:tcPr>
          <w:tcW w:w="4068" w:type="dxa"/>
        </w:tcPr>
        <w:p w14:paraId="3F573A50" w14:textId="40BFF7B4" w:rsidR="005F5B62" w:rsidRDefault="006F04A6" w:rsidP="005F5B62">
          <w:pPr>
            <w:rPr>
              <w:b/>
            </w:rPr>
          </w:pPr>
          <w:r>
            <w:rPr>
              <w:b/>
            </w:rPr>
            <w:t>Bath Iron Works Corporation</w:t>
          </w:r>
        </w:p>
      </w:tc>
      <w:tc>
        <w:tcPr>
          <w:tcW w:w="720" w:type="dxa"/>
          <w:tcBorders>
            <w:right w:val="single" w:sz="4" w:space="0" w:color="auto"/>
          </w:tcBorders>
        </w:tcPr>
        <w:p w14:paraId="1064DFD7" w14:textId="77777777" w:rsidR="005F5B62" w:rsidRDefault="005F5B62" w:rsidP="005F5B62">
          <w:pPr>
            <w:jc w:val="center"/>
            <w:rPr>
              <w:b/>
            </w:rPr>
          </w:pPr>
        </w:p>
      </w:tc>
      <w:tc>
        <w:tcPr>
          <w:tcW w:w="720" w:type="dxa"/>
          <w:tcBorders>
            <w:left w:val="nil"/>
          </w:tcBorders>
        </w:tcPr>
        <w:p w14:paraId="08EBE73E" w14:textId="77777777" w:rsidR="005F5B62" w:rsidRDefault="005F5B62" w:rsidP="005F5B62">
          <w:pPr>
            <w:jc w:val="center"/>
            <w:rPr>
              <w:b/>
            </w:rPr>
          </w:pPr>
        </w:p>
      </w:tc>
      <w:tc>
        <w:tcPr>
          <w:tcW w:w="3942" w:type="dxa"/>
        </w:tcPr>
        <w:p w14:paraId="5D12E879" w14:textId="77777777" w:rsidR="005F5B62" w:rsidRDefault="005F5B62" w:rsidP="005F5B62">
          <w:pPr>
            <w:jc w:val="center"/>
            <w:rPr>
              <w:b/>
            </w:rPr>
          </w:pPr>
          <w:r>
            <w:rPr>
              <w:b/>
            </w:rPr>
            <w:t>Departmental</w:t>
          </w:r>
        </w:p>
      </w:tc>
    </w:tr>
    <w:tr w:rsidR="005F5B62" w14:paraId="4F6A882A" w14:textId="77777777" w:rsidTr="00D42750">
      <w:tc>
        <w:tcPr>
          <w:tcW w:w="4068" w:type="dxa"/>
        </w:tcPr>
        <w:p w14:paraId="32C598A4" w14:textId="00E40D5A" w:rsidR="005F5B62" w:rsidRDefault="006F04A6" w:rsidP="005F5B62">
          <w:pPr>
            <w:rPr>
              <w:b/>
            </w:rPr>
          </w:pPr>
          <w:r>
            <w:rPr>
              <w:b/>
            </w:rPr>
            <w:t>Cumberland</w:t>
          </w:r>
          <w:r w:rsidR="005F5B62">
            <w:rPr>
              <w:b/>
            </w:rPr>
            <w:t xml:space="preserve"> County</w:t>
          </w:r>
        </w:p>
      </w:tc>
      <w:tc>
        <w:tcPr>
          <w:tcW w:w="720" w:type="dxa"/>
          <w:tcBorders>
            <w:right w:val="single" w:sz="4" w:space="0" w:color="auto"/>
          </w:tcBorders>
        </w:tcPr>
        <w:p w14:paraId="617D972E" w14:textId="77777777" w:rsidR="005F5B62" w:rsidRDefault="005F5B62" w:rsidP="005F5B62">
          <w:pPr>
            <w:jc w:val="center"/>
            <w:rPr>
              <w:b/>
            </w:rPr>
          </w:pPr>
        </w:p>
      </w:tc>
      <w:tc>
        <w:tcPr>
          <w:tcW w:w="720" w:type="dxa"/>
          <w:tcBorders>
            <w:left w:val="nil"/>
          </w:tcBorders>
        </w:tcPr>
        <w:p w14:paraId="2A1DA41E" w14:textId="77777777" w:rsidR="005F5B62" w:rsidRDefault="005F5B62" w:rsidP="005F5B62">
          <w:pPr>
            <w:jc w:val="center"/>
            <w:rPr>
              <w:b/>
            </w:rPr>
          </w:pPr>
        </w:p>
      </w:tc>
      <w:tc>
        <w:tcPr>
          <w:tcW w:w="3942" w:type="dxa"/>
        </w:tcPr>
        <w:p w14:paraId="4E2DD5A9" w14:textId="77777777" w:rsidR="005F5B62" w:rsidRDefault="005F5B62" w:rsidP="005F5B62">
          <w:pPr>
            <w:jc w:val="center"/>
            <w:rPr>
              <w:b/>
            </w:rPr>
          </w:pPr>
          <w:r>
            <w:rPr>
              <w:b/>
            </w:rPr>
            <w:t>Findings of Fact and Order</w:t>
          </w:r>
        </w:p>
      </w:tc>
    </w:tr>
    <w:tr w:rsidR="005F5B62" w14:paraId="23E28722" w14:textId="77777777" w:rsidTr="00D42750">
      <w:tc>
        <w:tcPr>
          <w:tcW w:w="4068" w:type="dxa"/>
        </w:tcPr>
        <w:p w14:paraId="44F68FF2" w14:textId="5844991C" w:rsidR="005F5B62" w:rsidRDefault="006F04A6" w:rsidP="005F5B62">
          <w:pPr>
            <w:rPr>
              <w:b/>
            </w:rPr>
          </w:pPr>
          <w:r>
            <w:rPr>
              <w:b/>
            </w:rPr>
            <w:t>Brunswick</w:t>
          </w:r>
          <w:r w:rsidR="005F5B62">
            <w:rPr>
              <w:b/>
            </w:rPr>
            <w:t>, Maine</w:t>
          </w:r>
        </w:p>
      </w:tc>
      <w:tc>
        <w:tcPr>
          <w:tcW w:w="720" w:type="dxa"/>
          <w:tcBorders>
            <w:right w:val="single" w:sz="4" w:space="0" w:color="auto"/>
          </w:tcBorders>
        </w:tcPr>
        <w:p w14:paraId="41FD04D7" w14:textId="77777777" w:rsidR="005F5B62" w:rsidRDefault="005F5B62" w:rsidP="005F5B62">
          <w:pPr>
            <w:jc w:val="center"/>
            <w:rPr>
              <w:b/>
            </w:rPr>
          </w:pPr>
        </w:p>
      </w:tc>
      <w:tc>
        <w:tcPr>
          <w:tcW w:w="720" w:type="dxa"/>
          <w:tcBorders>
            <w:left w:val="nil"/>
          </w:tcBorders>
        </w:tcPr>
        <w:p w14:paraId="22AF825A" w14:textId="77777777" w:rsidR="005F5B62" w:rsidRDefault="005F5B62" w:rsidP="005F5B62">
          <w:pPr>
            <w:jc w:val="center"/>
            <w:rPr>
              <w:b/>
            </w:rPr>
          </w:pPr>
        </w:p>
      </w:tc>
      <w:tc>
        <w:tcPr>
          <w:tcW w:w="3942" w:type="dxa"/>
        </w:tcPr>
        <w:p w14:paraId="42286CCB" w14:textId="77777777" w:rsidR="005F5B62" w:rsidRDefault="005F5B62" w:rsidP="005F5B62">
          <w:pPr>
            <w:jc w:val="center"/>
            <w:rPr>
              <w:b/>
            </w:rPr>
          </w:pPr>
          <w:r>
            <w:rPr>
              <w:b/>
            </w:rPr>
            <w:t>Air Emission License</w:t>
          </w:r>
        </w:p>
      </w:tc>
    </w:tr>
    <w:tr w:rsidR="005F5B62" w14:paraId="25291B53" w14:textId="77777777" w:rsidTr="00D42750">
      <w:tc>
        <w:tcPr>
          <w:tcW w:w="4068" w:type="dxa"/>
        </w:tcPr>
        <w:p w14:paraId="4466DF98" w14:textId="2583967A" w:rsidR="005F5B62" w:rsidRDefault="005F5B62" w:rsidP="005F5B62">
          <w:pPr>
            <w:rPr>
              <w:b/>
            </w:rPr>
          </w:pPr>
          <w:r>
            <w:rPr>
              <w:b/>
            </w:rPr>
            <w:t>A-</w:t>
          </w:r>
          <w:r w:rsidR="006F04A6">
            <w:rPr>
              <w:b/>
            </w:rPr>
            <w:t>271</w:t>
          </w:r>
          <w:r>
            <w:rPr>
              <w:b/>
            </w:rPr>
            <w:t>-71-</w:t>
          </w:r>
          <w:r w:rsidR="006F04A6">
            <w:rPr>
              <w:b/>
            </w:rPr>
            <w:t>S</w:t>
          </w:r>
          <w:r>
            <w:rPr>
              <w:b/>
            </w:rPr>
            <w:t>-</w:t>
          </w:r>
          <w:r w:rsidR="006F04A6">
            <w:rPr>
              <w:b/>
            </w:rPr>
            <w:t>A</w:t>
          </w:r>
          <w:r>
            <w:rPr>
              <w:b/>
            </w:rPr>
            <w:t xml:space="preserve"> </w:t>
          </w:r>
        </w:p>
      </w:tc>
      <w:tc>
        <w:tcPr>
          <w:tcW w:w="720" w:type="dxa"/>
          <w:tcBorders>
            <w:right w:val="single" w:sz="4" w:space="0" w:color="auto"/>
          </w:tcBorders>
        </w:tcPr>
        <w:p w14:paraId="399CA58F" w14:textId="77777777" w:rsidR="005F5B62" w:rsidRDefault="005F5B62" w:rsidP="005F5B62">
          <w:pPr>
            <w:jc w:val="center"/>
            <w:rPr>
              <w:b/>
            </w:rPr>
          </w:pPr>
        </w:p>
      </w:tc>
      <w:tc>
        <w:tcPr>
          <w:tcW w:w="720" w:type="dxa"/>
          <w:tcBorders>
            <w:left w:val="nil"/>
          </w:tcBorders>
        </w:tcPr>
        <w:p w14:paraId="49882289" w14:textId="77777777" w:rsidR="005F5B62" w:rsidRDefault="005F5B62" w:rsidP="005F5B62">
          <w:pPr>
            <w:jc w:val="center"/>
            <w:rPr>
              <w:b/>
            </w:rPr>
          </w:pPr>
        </w:p>
      </w:tc>
      <w:tc>
        <w:tcPr>
          <w:tcW w:w="3942" w:type="dxa"/>
        </w:tcPr>
        <w:p w14:paraId="04BB6BF4" w14:textId="6D4FCD05" w:rsidR="005F5B62" w:rsidRPr="006F04A6" w:rsidRDefault="005F5B62" w:rsidP="006F04A6">
          <w:pPr>
            <w:pStyle w:val="Heading1"/>
            <w:rPr>
              <w:iCs/>
            </w:rPr>
          </w:pPr>
          <w:r w:rsidRPr="006F04A6">
            <w:rPr>
              <w:iCs/>
            </w:rPr>
            <w:t>Amendment #</w:t>
          </w:r>
          <w:r w:rsidR="006F04A6" w:rsidRPr="006F04A6">
            <w:rPr>
              <w:iCs/>
            </w:rPr>
            <w:t>3</w:t>
          </w:r>
        </w:p>
      </w:tc>
    </w:tr>
  </w:tbl>
  <w:p w14:paraId="350A1505"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4"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2"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5"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5"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F056288"/>
    <w:multiLevelType w:val="hybridMultilevel"/>
    <w:tmpl w:val="7AEA0A10"/>
    <w:lvl w:ilvl="0" w:tplc="8EBC39A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48900EBA"/>
    <w:multiLevelType w:val="hybridMultilevel"/>
    <w:tmpl w:val="50540E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66"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69"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0"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2" w15:restartNumberingAfterBreak="0">
    <w:nsid w:val="51CC43F7"/>
    <w:multiLevelType w:val="hybridMultilevel"/>
    <w:tmpl w:val="43BE24FC"/>
    <w:lvl w:ilvl="0" w:tplc="EA6A9CB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7" w15:restartNumberingAfterBreak="0">
    <w:nsid w:val="56DF5EFA"/>
    <w:multiLevelType w:val="hybridMultilevel"/>
    <w:tmpl w:val="695E9908"/>
    <w:lvl w:ilvl="0" w:tplc="60227B72">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7C76C0"/>
    <w:multiLevelType w:val="hybridMultilevel"/>
    <w:tmpl w:val="2BACB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9"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FC651AA"/>
    <w:multiLevelType w:val="hybridMultilevel"/>
    <w:tmpl w:val="2A4E444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70110A87"/>
    <w:multiLevelType w:val="hybridMultilevel"/>
    <w:tmpl w:val="42901F3A"/>
    <w:lvl w:ilvl="0" w:tplc="076C00E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7"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872502">
    <w:abstractNumId w:val="30"/>
  </w:num>
  <w:num w:numId="2" w16cid:durableId="2054573088">
    <w:abstractNumId w:val="49"/>
  </w:num>
  <w:num w:numId="3" w16cid:durableId="1244223055">
    <w:abstractNumId w:val="93"/>
  </w:num>
  <w:num w:numId="4" w16cid:durableId="181092941">
    <w:abstractNumId w:val="77"/>
  </w:num>
  <w:num w:numId="5" w16cid:durableId="654770956">
    <w:abstractNumId w:val="29"/>
  </w:num>
  <w:num w:numId="6" w16cid:durableId="124009826">
    <w:abstractNumId w:val="5"/>
  </w:num>
  <w:num w:numId="7" w16cid:durableId="226690206">
    <w:abstractNumId w:val="40"/>
  </w:num>
  <w:num w:numId="8" w16cid:durableId="1204636668">
    <w:abstractNumId w:val="62"/>
  </w:num>
  <w:num w:numId="9" w16cid:durableId="1320504038">
    <w:abstractNumId w:val="1"/>
  </w:num>
  <w:num w:numId="10" w16cid:durableId="1357079452">
    <w:abstractNumId w:val="34"/>
  </w:num>
  <w:num w:numId="11" w16cid:durableId="1428620295">
    <w:abstractNumId w:val="49"/>
    <w:lvlOverride w:ilvl="0">
      <w:startOverride w:val="1"/>
    </w:lvlOverride>
  </w:num>
  <w:num w:numId="12" w16cid:durableId="1872957401">
    <w:abstractNumId w:val="83"/>
  </w:num>
  <w:num w:numId="13" w16cid:durableId="1025015309">
    <w:abstractNumId w:val="83"/>
    <w:lvlOverride w:ilvl="0">
      <w:startOverride w:val="1"/>
    </w:lvlOverride>
  </w:num>
  <w:num w:numId="14" w16cid:durableId="1868056069">
    <w:abstractNumId w:val="87"/>
  </w:num>
  <w:num w:numId="15" w16cid:durableId="2103182164">
    <w:abstractNumId w:val="28"/>
  </w:num>
  <w:num w:numId="16" w16cid:durableId="205533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179969">
    <w:abstractNumId w:val="35"/>
  </w:num>
  <w:num w:numId="18" w16cid:durableId="947277661">
    <w:abstractNumId w:val="83"/>
    <w:lvlOverride w:ilvl="0">
      <w:startOverride w:val="1"/>
    </w:lvlOverride>
  </w:num>
  <w:num w:numId="19" w16cid:durableId="731586837">
    <w:abstractNumId w:val="36"/>
  </w:num>
  <w:num w:numId="20" w16cid:durableId="1408843827">
    <w:abstractNumId w:val="97"/>
  </w:num>
  <w:num w:numId="21" w16cid:durableId="410080208">
    <w:abstractNumId w:val="91"/>
  </w:num>
  <w:num w:numId="22" w16cid:durableId="182328962">
    <w:abstractNumId w:val="80"/>
  </w:num>
  <w:num w:numId="23" w16cid:durableId="1080448253">
    <w:abstractNumId w:val="104"/>
  </w:num>
  <w:num w:numId="24" w16cid:durableId="1440181464">
    <w:abstractNumId w:val="16"/>
  </w:num>
  <w:num w:numId="25" w16cid:durableId="1277443034">
    <w:abstractNumId w:val="42"/>
  </w:num>
  <w:num w:numId="26" w16cid:durableId="493452390">
    <w:abstractNumId w:val="55"/>
  </w:num>
  <w:num w:numId="27" w16cid:durableId="1450658014">
    <w:abstractNumId w:val="83"/>
    <w:lvlOverride w:ilvl="0">
      <w:startOverride w:val="1"/>
    </w:lvlOverride>
  </w:num>
  <w:num w:numId="28" w16cid:durableId="1943761131">
    <w:abstractNumId w:val="4"/>
  </w:num>
  <w:num w:numId="29" w16cid:durableId="895700846">
    <w:abstractNumId w:val="0"/>
  </w:num>
  <w:num w:numId="30" w16cid:durableId="1806268111">
    <w:abstractNumId w:val="19"/>
  </w:num>
  <w:num w:numId="31" w16cid:durableId="165829740">
    <w:abstractNumId w:val="60"/>
  </w:num>
  <w:num w:numId="32" w16cid:durableId="240604711">
    <w:abstractNumId w:val="63"/>
  </w:num>
  <w:num w:numId="33" w16cid:durableId="244270600">
    <w:abstractNumId w:val="9"/>
  </w:num>
  <w:num w:numId="34" w16cid:durableId="1898473591">
    <w:abstractNumId w:val="47"/>
  </w:num>
  <w:num w:numId="35"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75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08168">
    <w:abstractNumId w:val="89"/>
  </w:num>
  <w:num w:numId="38" w16cid:durableId="1694376500">
    <w:abstractNumId w:val="86"/>
  </w:num>
  <w:num w:numId="39" w16cid:durableId="535779733">
    <w:abstractNumId w:val="93"/>
    <w:lvlOverride w:ilvl="0">
      <w:startOverride w:val="1"/>
    </w:lvlOverride>
  </w:num>
  <w:num w:numId="40" w16cid:durableId="568156183">
    <w:abstractNumId w:val="2"/>
  </w:num>
  <w:num w:numId="41" w16cid:durableId="1910722763">
    <w:abstractNumId w:val="83"/>
    <w:lvlOverride w:ilvl="0">
      <w:startOverride w:val="1"/>
    </w:lvlOverride>
  </w:num>
  <w:num w:numId="42" w16cid:durableId="429008948">
    <w:abstractNumId w:val="83"/>
    <w:lvlOverride w:ilvl="0">
      <w:startOverride w:val="1"/>
    </w:lvlOverride>
  </w:num>
  <w:num w:numId="43" w16cid:durableId="785080229">
    <w:abstractNumId w:val="22"/>
  </w:num>
  <w:num w:numId="44" w16cid:durableId="2084793961">
    <w:abstractNumId w:val="7"/>
  </w:num>
  <w:num w:numId="45" w16cid:durableId="767627377">
    <w:abstractNumId w:val="92"/>
  </w:num>
  <w:num w:numId="46" w16cid:durableId="2017226646">
    <w:abstractNumId w:val="25"/>
  </w:num>
  <w:num w:numId="47" w16cid:durableId="825628065">
    <w:abstractNumId w:val="94"/>
  </w:num>
  <w:num w:numId="48" w16cid:durableId="2139180983">
    <w:abstractNumId w:val="95"/>
  </w:num>
  <w:num w:numId="49" w16cid:durableId="990714735">
    <w:abstractNumId w:val="76"/>
  </w:num>
  <w:num w:numId="50" w16cid:durableId="280652989">
    <w:abstractNumId w:val="93"/>
    <w:lvlOverride w:ilvl="0">
      <w:startOverride w:val="1"/>
    </w:lvlOverride>
  </w:num>
  <w:num w:numId="51" w16cid:durableId="213809968">
    <w:abstractNumId w:val="83"/>
    <w:lvlOverride w:ilvl="0">
      <w:startOverride w:val="1"/>
    </w:lvlOverride>
  </w:num>
  <w:num w:numId="52" w16cid:durableId="1797942191">
    <w:abstractNumId w:val="83"/>
    <w:lvlOverride w:ilvl="0">
      <w:startOverride w:val="1"/>
    </w:lvlOverride>
  </w:num>
  <w:num w:numId="53" w16cid:durableId="179393141">
    <w:abstractNumId w:val="27"/>
  </w:num>
  <w:num w:numId="54" w16cid:durableId="2035884949">
    <w:abstractNumId w:val="101"/>
  </w:num>
  <w:num w:numId="55" w16cid:durableId="353309572">
    <w:abstractNumId w:val="73"/>
  </w:num>
  <w:num w:numId="56" w16cid:durableId="813062845">
    <w:abstractNumId w:val="41"/>
  </w:num>
  <w:num w:numId="57" w16cid:durableId="1696273416">
    <w:abstractNumId w:val="83"/>
    <w:lvlOverride w:ilvl="0">
      <w:startOverride w:val="1"/>
    </w:lvlOverride>
  </w:num>
  <w:num w:numId="58" w16cid:durableId="1805006860">
    <w:abstractNumId w:val="85"/>
  </w:num>
  <w:num w:numId="59" w16cid:durableId="932468303">
    <w:abstractNumId w:val="74"/>
  </w:num>
  <w:num w:numId="60" w16cid:durableId="453641219">
    <w:abstractNumId w:val="79"/>
  </w:num>
  <w:num w:numId="61" w16cid:durableId="809638547">
    <w:abstractNumId w:val="75"/>
  </w:num>
  <w:num w:numId="62" w16cid:durableId="650135747">
    <w:abstractNumId w:val="93"/>
    <w:lvlOverride w:ilvl="0">
      <w:startOverride w:val="1"/>
    </w:lvlOverride>
  </w:num>
  <w:num w:numId="63" w16cid:durableId="1926498962">
    <w:abstractNumId w:val="93"/>
    <w:lvlOverride w:ilvl="0">
      <w:startOverride w:val="1"/>
    </w:lvlOverride>
  </w:num>
  <w:num w:numId="64" w16cid:durableId="125395979">
    <w:abstractNumId w:val="12"/>
  </w:num>
  <w:num w:numId="65" w16cid:durableId="1958412930">
    <w:abstractNumId w:val="70"/>
  </w:num>
  <w:num w:numId="66" w16cid:durableId="1862088826">
    <w:abstractNumId w:val="103"/>
  </w:num>
  <w:num w:numId="67" w16cid:durableId="688338057">
    <w:abstractNumId w:val="39"/>
  </w:num>
  <w:num w:numId="68" w16cid:durableId="730926114">
    <w:abstractNumId w:val="100"/>
  </w:num>
  <w:num w:numId="69" w16cid:durableId="766929483">
    <w:abstractNumId w:val="45"/>
  </w:num>
  <w:num w:numId="70" w16cid:durableId="804084172">
    <w:abstractNumId w:val="44"/>
  </w:num>
  <w:num w:numId="71" w16cid:durableId="2135518769">
    <w:abstractNumId w:val="69"/>
  </w:num>
  <w:num w:numId="72" w16cid:durableId="440686182">
    <w:abstractNumId w:val="65"/>
  </w:num>
  <w:num w:numId="73" w16cid:durableId="1032731954">
    <w:abstractNumId w:val="96"/>
  </w:num>
  <w:num w:numId="74" w16cid:durableId="537162164">
    <w:abstractNumId w:val="64"/>
  </w:num>
  <w:num w:numId="75" w16cid:durableId="961037047">
    <w:abstractNumId w:val="106"/>
  </w:num>
  <w:num w:numId="76" w16cid:durableId="1753506145">
    <w:abstractNumId w:val="107"/>
  </w:num>
  <w:num w:numId="77" w16cid:durableId="636110738">
    <w:abstractNumId w:val="14"/>
  </w:num>
  <w:num w:numId="78" w16cid:durableId="1459909758">
    <w:abstractNumId w:val="57"/>
  </w:num>
  <w:num w:numId="79" w16cid:durableId="1285650745">
    <w:abstractNumId w:val="66"/>
  </w:num>
  <w:num w:numId="80" w16cid:durableId="402915865">
    <w:abstractNumId w:val="53"/>
  </w:num>
  <w:num w:numId="81" w16cid:durableId="1665665904">
    <w:abstractNumId w:val="46"/>
  </w:num>
  <w:num w:numId="82" w16cid:durableId="1707750122">
    <w:abstractNumId w:val="13"/>
  </w:num>
  <w:num w:numId="83" w16cid:durableId="1472285141">
    <w:abstractNumId w:val="99"/>
  </w:num>
  <w:num w:numId="84" w16cid:durableId="1281569199">
    <w:abstractNumId w:val="81"/>
  </w:num>
  <w:num w:numId="85" w16cid:durableId="2080206862">
    <w:abstractNumId w:val="37"/>
  </w:num>
  <w:num w:numId="86" w16cid:durableId="1892031002">
    <w:abstractNumId w:val="105"/>
  </w:num>
  <w:num w:numId="87" w16cid:durableId="924606090">
    <w:abstractNumId w:val="33"/>
  </w:num>
  <w:num w:numId="88" w16cid:durableId="749237614">
    <w:abstractNumId w:val="50"/>
  </w:num>
  <w:num w:numId="89" w16cid:durableId="1580601967">
    <w:abstractNumId w:val="90"/>
  </w:num>
  <w:num w:numId="90" w16cid:durableId="1552185916">
    <w:abstractNumId w:val="59"/>
  </w:num>
  <w:num w:numId="91" w16cid:durableId="1012998997">
    <w:abstractNumId w:val="102"/>
  </w:num>
  <w:num w:numId="92" w16cid:durableId="1932855890">
    <w:abstractNumId w:val="51"/>
  </w:num>
  <w:num w:numId="93" w16cid:durableId="2140875076">
    <w:abstractNumId w:val="20"/>
  </w:num>
  <w:num w:numId="94" w16cid:durableId="842627360">
    <w:abstractNumId w:val="58"/>
  </w:num>
  <w:num w:numId="95" w16cid:durableId="531722411">
    <w:abstractNumId w:val="18"/>
  </w:num>
  <w:num w:numId="96" w16cid:durableId="1030452222">
    <w:abstractNumId w:val="38"/>
  </w:num>
  <w:num w:numId="97" w16cid:durableId="1539124008">
    <w:abstractNumId w:val="78"/>
  </w:num>
  <w:num w:numId="98" w16cid:durableId="1478379516">
    <w:abstractNumId w:val="3"/>
  </w:num>
  <w:num w:numId="99" w16cid:durableId="2022777956">
    <w:abstractNumId w:val="88"/>
  </w:num>
  <w:num w:numId="100" w16cid:durableId="2093120872">
    <w:abstractNumId w:val="26"/>
  </w:num>
  <w:num w:numId="101" w16cid:durableId="1612393667">
    <w:abstractNumId w:val="48"/>
  </w:num>
  <w:num w:numId="102" w16cid:durableId="883492052">
    <w:abstractNumId w:val="67"/>
  </w:num>
  <w:num w:numId="103" w16cid:durableId="1021593777">
    <w:abstractNumId w:val="32"/>
  </w:num>
  <w:num w:numId="104" w16cid:durableId="779490925">
    <w:abstractNumId w:val="10"/>
  </w:num>
  <w:num w:numId="105" w16cid:durableId="759788910">
    <w:abstractNumId w:val="11"/>
  </w:num>
  <w:num w:numId="106" w16cid:durableId="1511095245">
    <w:abstractNumId w:val="56"/>
  </w:num>
  <w:num w:numId="107" w16cid:durableId="1917939820">
    <w:abstractNumId w:val="15"/>
  </w:num>
  <w:num w:numId="108" w16cid:durableId="132329901">
    <w:abstractNumId w:val="52"/>
  </w:num>
  <w:num w:numId="109" w16cid:durableId="1270428072">
    <w:abstractNumId w:val="17"/>
  </w:num>
  <w:num w:numId="110" w16cid:durableId="579558741">
    <w:abstractNumId w:val="6"/>
  </w:num>
  <w:num w:numId="111" w16cid:durableId="1053769281">
    <w:abstractNumId w:val="98"/>
  </w:num>
  <w:num w:numId="112" w16cid:durableId="654575365">
    <w:abstractNumId w:val="24"/>
  </w:num>
  <w:num w:numId="113" w16cid:durableId="1663970592">
    <w:abstractNumId w:val="8"/>
  </w:num>
  <w:num w:numId="114" w16cid:durableId="1083722067">
    <w:abstractNumId w:val="68"/>
  </w:num>
  <w:num w:numId="115" w16cid:durableId="2042125080">
    <w:abstractNumId w:val="23"/>
  </w:num>
  <w:num w:numId="116" w16cid:durableId="1671062345">
    <w:abstractNumId w:val="31"/>
  </w:num>
  <w:num w:numId="117" w16cid:durableId="730079211">
    <w:abstractNumId w:val="71"/>
  </w:num>
  <w:num w:numId="118" w16cid:durableId="55670402">
    <w:abstractNumId w:val="43"/>
  </w:num>
  <w:num w:numId="119" w16cid:durableId="1137915944">
    <w:abstractNumId w:val="21"/>
  </w:num>
  <w:num w:numId="120" w16cid:durableId="1350838181">
    <w:abstractNumId w:val="82"/>
  </w:num>
  <w:num w:numId="121" w16cid:durableId="1416171667">
    <w:abstractNumId w:val="84"/>
  </w:num>
  <w:num w:numId="122" w16cid:durableId="754013639">
    <w:abstractNumId w:val="93"/>
    <w:lvlOverride w:ilvl="0">
      <w:startOverride w:val="1"/>
    </w:lvlOverride>
  </w:num>
  <w:num w:numId="123" w16cid:durableId="662201694">
    <w:abstractNumId w:val="83"/>
    <w:lvlOverride w:ilvl="0">
      <w:startOverride w:val="1"/>
    </w:lvlOverride>
  </w:num>
  <w:num w:numId="124" w16cid:durableId="1238055664">
    <w:abstractNumId w:val="93"/>
    <w:lvlOverride w:ilvl="0">
      <w:startOverride w:val="1"/>
    </w:lvlOverride>
  </w:num>
  <w:num w:numId="125" w16cid:durableId="251546770">
    <w:abstractNumId w:val="83"/>
    <w:lvlOverride w:ilvl="0">
      <w:startOverride w:val="1"/>
    </w:lvlOverride>
  </w:num>
  <w:num w:numId="126" w16cid:durableId="995491934">
    <w:abstractNumId w:val="54"/>
  </w:num>
  <w:num w:numId="127" w16cid:durableId="1333794488">
    <w:abstractNumId w:val="72"/>
  </w:num>
  <w:num w:numId="128" w16cid:durableId="1644390555">
    <w:abstractNumId w:val="61"/>
  </w:num>
  <w:num w:numId="129" w16cid:durableId="829565825">
    <w:abstractNumId w:val="77"/>
    <w:lvlOverride w:ilvl="0">
      <w:startOverride w:val="25"/>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12"/>
    <w:rsid w:val="00007E36"/>
    <w:rsid w:val="00014D10"/>
    <w:rsid w:val="00023E0B"/>
    <w:rsid w:val="000303AD"/>
    <w:rsid w:val="000374E6"/>
    <w:rsid w:val="00037EE8"/>
    <w:rsid w:val="0004771F"/>
    <w:rsid w:val="0005514A"/>
    <w:rsid w:val="00062F72"/>
    <w:rsid w:val="00074FFD"/>
    <w:rsid w:val="000B207D"/>
    <w:rsid w:val="000B5498"/>
    <w:rsid w:val="000C3278"/>
    <w:rsid w:val="000E1001"/>
    <w:rsid w:val="00105C8A"/>
    <w:rsid w:val="001107DC"/>
    <w:rsid w:val="00116DE4"/>
    <w:rsid w:val="00123155"/>
    <w:rsid w:val="00156E86"/>
    <w:rsid w:val="00157CF9"/>
    <w:rsid w:val="00197014"/>
    <w:rsid w:val="001A503E"/>
    <w:rsid w:val="001B3EB6"/>
    <w:rsid w:val="001D351B"/>
    <w:rsid w:val="001D5D5B"/>
    <w:rsid w:val="001F53A1"/>
    <w:rsid w:val="00241F1D"/>
    <w:rsid w:val="00264A22"/>
    <w:rsid w:val="00267FFC"/>
    <w:rsid w:val="002848A9"/>
    <w:rsid w:val="00290233"/>
    <w:rsid w:val="002B4210"/>
    <w:rsid w:val="002B5DB8"/>
    <w:rsid w:val="002C17A8"/>
    <w:rsid w:val="002D4CC6"/>
    <w:rsid w:val="002F772A"/>
    <w:rsid w:val="00315FD8"/>
    <w:rsid w:val="00340F4E"/>
    <w:rsid w:val="00344769"/>
    <w:rsid w:val="00390999"/>
    <w:rsid w:val="00393113"/>
    <w:rsid w:val="00393CA9"/>
    <w:rsid w:val="003D79C3"/>
    <w:rsid w:val="003E6CA9"/>
    <w:rsid w:val="003F1C26"/>
    <w:rsid w:val="00425361"/>
    <w:rsid w:val="00446BDF"/>
    <w:rsid w:val="00462D5F"/>
    <w:rsid w:val="00485ECE"/>
    <w:rsid w:val="00490D6E"/>
    <w:rsid w:val="004A0B61"/>
    <w:rsid w:val="004A53F7"/>
    <w:rsid w:val="004B1E6B"/>
    <w:rsid w:val="004C1A78"/>
    <w:rsid w:val="004D0CB0"/>
    <w:rsid w:val="004F70B4"/>
    <w:rsid w:val="005227E2"/>
    <w:rsid w:val="00544CD4"/>
    <w:rsid w:val="00554306"/>
    <w:rsid w:val="00560F50"/>
    <w:rsid w:val="00573955"/>
    <w:rsid w:val="00577100"/>
    <w:rsid w:val="0058323B"/>
    <w:rsid w:val="005979FB"/>
    <w:rsid w:val="005B526D"/>
    <w:rsid w:val="005C6658"/>
    <w:rsid w:val="005D4F08"/>
    <w:rsid w:val="005F5B62"/>
    <w:rsid w:val="005F60FF"/>
    <w:rsid w:val="006064DC"/>
    <w:rsid w:val="00616F28"/>
    <w:rsid w:val="00645933"/>
    <w:rsid w:val="00660E5E"/>
    <w:rsid w:val="00667FDB"/>
    <w:rsid w:val="00670B25"/>
    <w:rsid w:val="00691ABE"/>
    <w:rsid w:val="006A57E3"/>
    <w:rsid w:val="006E35A9"/>
    <w:rsid w:val="006F04A6"/>
    <w:rsid w:val="006F71CE"/>
    <w:rsid w:val="00734607"/>
    <w:rsid w:val="007638CD"/>
    <w:rsid w:val="007863A6"/>
    <w:rsid w:val="007912DA"/>
    <w:rsid w:val="007961AE"/>
    <w:rsid w:val="007C5B34"/>
    <w:rsid w:val="007D2974"/>
    <w:rsid w:val="007E2999"/>
    <w:rsid w:val="007E3B85"/>
    <w:rsid w:val="007F0349"/>
    <w:rsid w:val="007F5E18"/>
    <w:rsid w:val="00833A28"/>
    <w:rsid w:val="00835A25"/>
    <w:rsid w:val="0084182A"/>
    <w:rsid w:val="0084524F"/>
    <w:rsid w:val="00850D24"/>
    <w:rsid w:val="00885E26"/>
    <w:rsid w:val="008A1431"/>
    <w:rsid w:val="008B4BB0"/>
    <w:rsid w:val="008D4AED"/>
    <w:rsid w:val="0090298E"/>
    <w:rsid w:val="0091119B"/>
    <w:rsid w:val="00915A14"/>
    <w:rsid w:val="00921ACB"/>
    <w:rsid w:val="0092745C"/>
    <w:rsid w:val="0094376B"/>
    <w:rsid w:val="00950B4F"/>
    <w:rsid w:val="00952485"/>
    <w:rsid w:val="00971948"/>
    <w:rsid w:val="009C34DC"/>
    <w:rsid w:val="00A32F22"/>
    <w:rsid w:val="00A378EB"/>
    <w:rsid w:val="00A47EFB"/>
    <w:rsid w:val="00A52FA4"/>
    <w:rsid w:val="00A76D69"/>
    <w:rsid w:val="00A945BD"/>
    <w:rsid w:val="00AE0CA6"/>
    <w:rsid w:val="00AF57E4"/>
    <w:rsid w:val="00B00BD2"/>
    <w:rsid w:val="00B02F5B"/>
    <w:rsid w:val="00B128C6"/>
    <w:rsid w:val="00B17EDE"/>
    <w:rsid w:val="00B4147A"/>
    <w:rsid w:val="00B41881"/>
    <w:rsid w:val="00B76DF9"/>
    <w:rsid w:val="00B93E22"/>
    <w:rsid w:val="00B97438"/>
    <w:rsid w:val="00B976B0"/>
    <w:rsid w:val="00BE2774"/>
    <w:rsid w:val="00BF2495"/>
    <w:rsid w:val="00C23DD9"/>
    <w:rsid w:val="00C2505B"/>
    <w:rsid w:val="00C25BF9"/>
    <w:rsid w:val="00C44E12"/>
    <w:rsid w:val="00C74FE4"/>
    <w:rsid w:val="00CA3CAA"/>
    <w:rsid w:val="00CC2482"/>
    <w:rsid w:val="00CE4D3A"/>
    <w:rsid w:val="00D02993"/>
    <w:rsid w:val="00D02FE1"/>
    <w:rsid w:val="00D75706"/>
    <w:rsid w:val="00D802BD"/>
    <w:rsid w:val="00D85243"/>
    <w:rsid w:val="00DA393F"/>
    <w:rsid w:val="00DA5C48"/>
    <w:rsid w:val="00DE7111"/>
    <w:rsid w:val="00DF2989"/>
    <w:rsid w:val="00E43CB6"/>
    <w:rsid w:val="00E555F8"/>
    <w:rsid w:val="00E71C1E"/>
    <w:rsid w:val="00EB5AE8"/>
    <w:rsid w:val="00EF457B"/>
    <w:rsid w:val="00F1726E"/>
    <w:rsid w:val="00F558C8"/>
    <w:rsid w:val="00F61042"/>
    <w:rsid w:val="00F70CF0"/>
    <w:rsid w:val="00F71356"/>
    <w:rsid w:val="00F754A0"/>
    <w:rsid w:val="00FD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10DC"/>
  <w15:chartTrackingRefBased/>
  <w15:docId w15:val="{C00F3AAA-CFA1-4004-A302-0F86A5AA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1E"/>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iPriority w:val="99"/>
    <w:unhideWhenUsed/>
    <w:rsid w:val="00A76D69"/>
    <w:rPr>
      <w:sz w:val="20"/>
      <w:szCs w:val="20"/>
    </w:rPr>
  </w:style>
  <w:style w:type="character" w:customStyle="1" w:styleId="CommentTextChar">
    <w:name w:val="Comment Text Char"/>
    <w:basedOn w:val="DefaultParagraphFont"/>
    <w:link w:val="CommentText"/>
    <w:uiPriority w:val="99"/>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4343</Words>
  <Characters>24412</Characters>
  <Application>Microsoft Office Word</Application>
  <DocSecurity>4</DocSecurity>
  <Lines>787</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2026-04-08T20:19:00Z</dcterms:created>
  <dcterms:modified xsi:type="dcterms:W3CDTF">2026-04-08T20:19:00Z</dcterms:modified>
</cp:coreProperties>
</file>